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C89A09" w14:textId="77777777" w:rsidR="005F4CC7" w:rsidRDefault="005F4CC7"/>
    <w:p w14:paraId="5BD462E9" w14:textId="77777777" w:rsidR="009C16DC" w:rsidRDefault="009C16DC"/>
    <w:p w14:paraId="2B414BCB" w14:textId="77777777" w:rsidR="009C16DC" w:rsidRPr="009C16DC" w:rsidRDefault="009C16DC" w:rsidP="009C16DC">
      <w:pPr>
        <w:spacing w:before="100" w:beforeAutospacing="1" w:after="100" w:afterAutospacing="1"/>
        <w:outlineLvl w:val="0"/>
        <w:rPr>
          <w:rFonts w:ascii="Times New Roman" w:eastAsia="Times New Roman" w:hAnsi="Times New Roman" w:cs="Times New Roman"/>
          <w:b/>
          <w:bCs/>
          <w:kern w:val="36"/>
          <w:sz w:val="48"/>
          <w:szCs w:val="48"/>
          <w14:ligatures w14:val="none"/>
        </w:rPr>
      </w:pPr>
      <w:r w:rsidRPr="009C16DC">
        <w:rPr>
          <w:rFonts w:ascii="Times New Roman" w:eastAsia="Times New Roman" w:hAnsi="Times New Roman" w:cs="Times New Roman"/>
          <w:b/>
          <w:bCs/>
          <w:kern w:val="36"/>
          <w:sz w:val="48"/>
          <w:szCs w:val="48"/>
          <w14:ligatures w14:val="none"/>
        </w:rPr>
        <w:t xml:space="preserve">7 CFR § 273.15 - Fair hearings. </w:t>
      </w:r>
    </w:p>
    <w:p w14:paraId="24B1EAF0" w14:textId="77777777" w:rsidR="009C16DC" w:rsidRPr="009C16DC" w:rsidRDefault="009C16DC" w:rsidP="009C16DC">
      <w:pPr>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273.15 Fair hearings.</w:t>
      </w:r>
    </w:p>
    <w:p w14:paraId="588ECE01"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(a) Availability of hearings. Except as provided in </w:t>
      </w:r>
      <w:hyperlink r:id="rId4" w:anchor="f" w:history="1">
        <w:r w:rsidRPr="009C16DC">
          <w:rPr>
            <w:rFonts w:ascii="Times New Roman" w:eastAsia="Times New Roman" w:hAnsi="Times New Roman" w:cs="Times New Roman"/>
            <w:color w:val="0000FF"/>
            <w:kern w:val="0"/>
            <w:u w:val="single"/>
            <w14:ligatures w14:val="none"/>
          </w:rPr>
          <w:t>§ 271.7(f)</w:t>
        </w:r>
      </w:hyperlink>
      <w:r w:rsidRPr="009C16DC">
        <w:rPr>
          <w:rFonts w:ascii="Times New Roman" w:eastAsia="Times New Roman" w:hAnsi="Times New Roman" w:cs="Times New Roman"/>
          <w:kern w:val="0"/>
          <w14:ligatures w14:val="none"/>
        </w:rPr>
        <w:t xml:space="preserve">, each </w:t>
      </w:r>
      <w:hyperlink r:id="rId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provide a fair hearing to any household aggrieved by any action of the </w:t>
      </w:r>
      <w:hyperlink r:id="rId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which affects the participation of the </w:t>
      </w:r>
      <w:proofErr w:type="spellStart"/>
      <w:r w:rsidRPr="009C16DC">
        <w:rPr>
          <w:rFonts w:ascii="Times New Roman" w:eastAsia="Times New Roman" w:hAnsi="Times New Roman" w:cs="Times New Roman"/>
          <w:kern w:val="0"/>
          <w14:ligatures w14:val="none"/>
        </w:rPr>
        <w:t>houshold</w:t>
      </w:r>
      <w:proofErr w:type="spellEnd"/>
      <w:r w:rsidRPr="009C16DC">
        <w:rPr>
          <w:rFonts w:ascii="Times New Roman" w:eastAsia="Times New Roman" w:hAnsi="Times New Roman" w:cs="Times New Roman"/>
          <w:kern w:val="0"/>
          <w14:ligatures w14:val="none"/>
        </w:rPr>
        <w:t xml:space="preserve"> in the Program. </w:t>
      </w:r>
    </w:p>
    <w:p w14:paraId="7981EDE0"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(b) Hearing system. Each </w:t>
      </w:r>
      <w:hyperlink r:id="rId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provide for either a fair hearing at the </w:t>
      </w:r>
      <w:hyperlink r:id="rId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or for a hearing at the local level which permits the household to further appeal a local decision to a </w:t>
      </w:r>
      <w:hyperlink r:id="rId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fair hearing. </w:t>
      </w:r>
      <w:hyperlink r:id="rId10"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agencies may adopt local level hearings in some </w:t>
      </w:r>
      <w:hyperlink r:id="rId11"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areas and maintain only </w:t>
      </w:r>
      <w:hyperlink r:id="rId12"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hearings in other </w:t>
      </w:r>
      <w:hyperlink r:id="rId13"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areas. </w:t>
      </w:r>
    </w:p>
    <w:p w14:paraId="088FB1B3"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(c) Timely action on hearings—(1) State level hearings. Within 60 days of receipt of a request for a fair hearing, the </w:t>
      </w:r>
      <w:hyperlink r:id="rId1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assure that the hearing is conducted, a decision is reached, and the household and local agency are notified of the decision. Decisions that result in an increase in household benefits shall be reflected in the household's EBT account within 10 days of the receipt of the hearing decision even if the </w:t>
      </w:r>
      <w:hyperlink r:id="rId1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must provide supplementary benefits or otherwise provide the household with an opportunity to obtain the benefits outside of the normal issuance cycle. However, the </w:t>
      </w:r>
      <w:hyperlink r:id="rId1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may take longer than 10 days if it elects to make the decision effective in the household's normal issuance cycle, provided that the issuance will occur within 60 days from the household's request for the hearing. Decisions which result in a decrease in household benefits shall be reflected in the next scheduled issuance following receipt of the hearing decision. </w:t>
      </w:r>
    </w:p>
    <w:p w14:paraId="0BA0D54E"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Local level hearings. Within 45 days of receipt of a request for a fair hearing, the </w:t>
      </w:r>
      <w:hyperlink r:id="rId1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assure that the hearing is conducted, and that a decision is reached and reflected in the SNAP benefit allotment. </w:t>
      </w:r>
    </w:p>
    <w:p w14:paraId="3423CA6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(3) Appeals of local level decisions. Within 45 days of receipt of any request for a </w:t>
      </w:r>
      <w:hyperlink r:id="rId1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review of a decision or for a new </w:t>
      </w:r>
      <w:hyperlink r:id="rId1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 the </w:t>
      </w:r>
      <w:hyperlink r:id="rId20"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assure that the review or the new hearing is conducted, and that a decision is reached and reflected in the SNAP benefit allotment. </w:t>
      </w:r>
    </w:p>
    <w:p w14:paraId="5C19C789"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(4) Household requests for postponement. The household may request and is entitled to receive a postponement of the scheduled hearing. The postponement shall not exceed 30 days and the time limit for action on the decision may be extended for as many days as the hearing is postponed. For example, if a </w:t>
      </w:r>
      <w:hyperlink r:id="rId2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 is postponed by the household for 10 days, notification of the hearing decision will be required within 70 days from the date of the request for a hearing. </w:t>
      </w:r>
    </w:p>
    <w:p w14:paraId="6408A9FC"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(d) Agency conferences. </w:t>
      </w:r>
    </w:p>
    <w:p w14:paraId="3B6E12D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lastRenderedPageBreak/>
        <w:t xml:space="preserve">(1) The </w:t>
      </w:r>
      <w:hyperlink r:id="rId22"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offer agency conferences to households which wish to contest a denial of expedited </w:t>
      </w:r>
      <w:hyperlink r:id="rId23" w:history="1">
        <w:r w:rsidRPr="009C16DC">
          <w:rPr>
            <w:rFonts w:ascii="Times New Roman" w:eastAsia="Times New Roman" w:hAnsi="Times New Roman" w:cs="Times New Roman"/>
            <w:color w:val="0000FF"/>
            <w:kern w:val="0"/>
            <w:u w:val="single"/>
            <w14:ligatures w14:val="none"/>
          </w:rPr>
          <w:t>service</w:t>
        </w:r>
      </w:hyperlink>
      <w:r w:rsidRPr="009C16DC">
        <w:rPr>
          <w:rFonts w:ascii="Times New Roman" w:eastAsia="Times New Roman" w:hAnsi="Times New Roman" w:cs="Times New Roman"/>
          <w:kern w:val="0"/>
          <w14:ligatures w14:val="none"/>
        </w:rPr>
        <w:t xml:space="preserve"> under the procedures in </w:t>
      </w:r>
      <w:hyperlink r:id="rId24" w:anchor="i" w:history="1">
        <w:r w:rsidRPr="009C16DC">
          <w:rPr>
            <w:rFonts w:ascii="Times New Roman" w:eastAsia="Times New Roman" w:hAnsi="Times New Roman" w:cs="Times New Roman"/>
            <w:color w:val="0000FF"/>
            <w:kern w:val="0"/>
            <w:u w:val="single"/>
            <w14:ligatures w14:val="none"/>
          </w:rPr>
          <w:t>§ 273.2(</w:t>
        </w:r>
        <w:proofErr w:type="spellStart"/>
        <w:r w:rsidRPr="009C16DC">
          <w:rPr>
            <w:rFonts w:ascii="Times New Roman" w:eastAsia="Times New Roman" w:hAnsi="Times New Roman" w:cs="Times New Roman"/>
            <w:color w:val="0000FF"/>
            <w:kern w:val="0"/>
            <w:u w:val="single"/>
            <w14:ligatures w14:val="none"/>
          </w:rPr>
          <w:t>i</w:t>
        </w:r>
        <w:proofErr w:type="spellEnd"/>
        <w:r w:rsidRPr="009C16DC">
          <w:rPr>
            <w:rFonts w:ascii="Times New Roman" w:eastAsia="Times New Roman" w:hAnsi="Times New Roman" w:cs="Times New Roman"/>
            <w:color w:val="0000FF"/>
            <w:kern w:val="0"/>
            <w:u w:val="single"/>
            <w14:ligatures w14:val="none"/>
          </w:rPr>
          <w:t>)</w:t>
        </w:r>
      </w:hyperlink>
      <w:r w:rsidRPr="009C16DC">
        <w:rPr>
          <w:rFonts w:ascii="Times New Roman" w:eastAsia="Times New Roman" w:hAnsi="Times New Roman" w:cs="Times New Roman"/>
          <w:kern w:val="0"/>
          <w14:ligatures w14:val="none"/>
        </w:rPr>
        <w:t xml:space="preserve">. The </w:t>
      </w:r>
      <w:hyperlink r:id="rId2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may also offer agency conferences to households adversely affected by an agency action. The </w:t>
      </w:r>
      <w:hyperlink r:id="rId2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advise households that use of an agency conference is optional and that it shall in no way delay or replace the fair hearing process. The agency conferences may be attended by the eligibility worker responsible for the agency </w:t>
      </w:r>
      <w:proofErr w:type="gramStart"/>
      <w:r w:rsidRPr="009C16DC">
        <w:rPr>
          <w:rFonts w:ascii="Times New Roman" w:eastAsia="Times New Roman" w:hAnsi="Times New Roman" w:cs="Times New Roman"/>
          <w:kern w:val="0"/>
          <w14:ligatures w14:val="none"/>
        </w:rPr>
        <w:t>action, and</w:t>
      </w:r>
      <w:proofErr w:type="gramEnd"/>
      <w:r w:rsidRPr="009C16DC">
        <w:rPr>
          <w:rFonts w:ascii="Times New Roman" w:eastAsia="Times New Roman" w:hAnsi="Times New Roman" w:cs="Times New Roman"/>
          <w:kern w:val="0"/>
          <w14:ligatures w14:val="none"/>
        </w:rPr>
        <w:t xml:space="preserve"> shall be attended by an eligibility supervisor and/or the agency director, and by the household and/or its representative. An agency conference may lead to an informal resolution of the dispute. However, a fair hearing must still be held unless the household makes a written withdrawal of its request for a hearing. </w:t>
      </w:r>
    </w:p>
    <w:p w14:paraId="08D6C530"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An agency conference for households contesting a denial of expedited </w:t>
      </w:r>
      <w:hyperlink r:id="rId27" w:history="1">
        <w:r w:rsidRPr="009C16DC">
          <w:rPr>
            <w:rFonts w:ascii="Times New Roman" w:eastAsia="Times New Roman" w:hAnsi="Times New Roman" w:cs="Times New Roman"/>
            <w:color w:val="0000FF"/>
            <w:kern w:val="0"/>
            <w:u w:val="single"/>
            <w14:ligatures w14:val="none"/>
          </w:rPr>
          <w:t>service</w:t>
        </w:r>
      </w:hyperlink>
      <w:r w:rsidRPr="009C16DC">
        <w:rPr>
          <w:rFonts w:ascii="Times New Roman" w:eastAsia="Times New Roman" w:hAnsi="Times New Roman" w:cs="Times New Roman"/>
          <w:kern w:val="0"/>
          <w14:ligatures w14:val="none"/>
        </w:rPr>
        <w:t xml:space="preserve"> shall be scheduled within 2 working days, unless the household requests that it be scheduled later or </w:t>
      </w:r>
      <w:hyperlink r:id="rId28" w:history="1">
        <w:r w:rsidRPr="009C16DC">
          <w:rPr>
            <w:rFonts w:ascii="Times New Roman" w:eastAsia="Times New Roman" w:hAnsi="Times New Roman" w:cs="Times New Roman"/>
            <w:color w:val="0000FF"/>
            <w:kern w:val="0"/>
            <w:u w:val="single"/>
            <w14:ligatures w14:val="none"/>
          </w:rPr>
          <w:t>states</w:t>
        </w:r>
      </w:hyperlink>
      <w:r w:rsidRPr="009C16DC">
        <w:rPr>
          <w:rFonts w:ascii="Times New Roman" w:eastAsia="Times New Roman" w:hAnsi="Times New Roman" w:cs="Times New Roman"/>
          <w:kern w:val="0"/>
          <w14:ligatures w14:val="none"/>
        </w:rPr>
        <w:t xml:space="preserve"> that it does not wish to have an agency conference. </w:t>
      </w:r>
    </w:p>
    <w:p w14:paraId="3257838D"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(e) Consolidated hearings. </w:t>
      </w:r>
      <w:hyperlink r:id="rId2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agencies may respond to a series of individual requests for hearings by conducting a single group hearing. </w:t>
      </w:r>
      <w:hyperlink r:id="rId30"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agencies may consolidate only cases where individual issues of fact are not disputed and where related issues of </w:t>
      </w:r>
      <w:hyperlink r:id="rId3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and/or Federal law, regulation or policy are the sole issues being raised. In all group hearings, the regulations governing individual hearings must be followed. Each individual household shall be permitted to present its own case or have its case presented by a representative. </w:t>
      </w:r>
    </w:p>
    <w:p w14:paraId="625E8C24"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(f) Notification of right to request hearing. At the time of application, each household shall be informed in writing of its right to a hearing, of the method by which a hearing may be requested, and that its case may be presented by a household member or a representative, such as a legal counsel, a relative, a friend or other spokesperson. In addition, at any time the household expresses to the </w:t>
      </w:r>
      <w:hyperlink r:id="rId32"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that it disagrees with a </w:t>
      </w:r>
      <w:hyperlink r:id="rId3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action, it shall be reminded of the right to request a fair hearing. If there is an individual or organization available that provides free legal representation, the household shall also be informed of the availability of that </w:t>
      </w:r>
      <w:hyperlink r:id="rId34" w:history="1">
        <w:r w:rsidRPr="009C16DC">
          <w:rPr>
            <w:rFonts w:ascii="Times New Roman" w:eastAsia="Times New Roman" w:hAnsi="Times New Roman" w:cs="Times New Roman"/>
            <w:color w:val="0000FF"/>
            <w:kern w:val="0"/>
            <w:u w:val="single"/>
            <w14:ligatures w14:val="none"/>
          </w:rPr>
          <w:t>service</w:t>
        </w:r>
      </w:hyperlink>
      <w:r w:rsidRPr="009C16DC">
        <w:rPr>
          <w:rFonts w:ascii="Times New Roman" w:eastAsia="Times New Roman" w:hAnsi="Times New Roman" w:cs="Times New Roman"/>
          <w:kern w:val="0"/>
          <w14:ligatures w14:val="none"/>
        </w:rPr>
        <w:t xml:space="preserve">. </w:t>
      </w:r>
    </w:p>
    <w:p w14:paraId="60332BB3"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(g) Time period for requesting hearing. A household shall be allowed to request a hearing on any action by the </w:t>
      </w:r>
      <w:hyperlink r:id="rId3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or loss of benefits which occurred in the prior 90 days. Action by the </w:t>
      </w:r>
      <w:hyperlink r:id="rId3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include a denial of a request for restoration of any benefits </w:t>
      </w:r>
      <w:hyperlink r:id="rId37" w:history="1">
        <w:r w:rsidRPr="009C16DC">
          <w:rPr>
            <w:rFonts w:ascii="Times New Roman" w:eastAsia="Times New Roman" w:hAnsi="Times New Roman" w:cs="Times New Roman"/>
            <w:color w:val="0000FF"/>
            <w:kern w:val="0"/>
            <w:u w:val="single"/>
            <w14:ligatures w14:val="none"/>
          </w:rPr>
          <w:t>lost</w:t>
        </w:r>
      </w:hyperlink>
      <w:r w:rsidRPr="009C16DC">
        <w:rPr>
          <w:rFonts w:ascii="Times New Roman" w:eastAsia="Times New Roman" w:hAnsi="Times New Roman" w:cs="Times New Roman"/>
          <w:kern w:val="0"/>
          <w14:ligatures w14:val="none"/>
        </w:rPr>
        <w:t xml:space="preserve"> more than 90 days but less than a year prior to the request. In addition, at any time within a certification period a household may request a fair hearing to dispute its current level of benefits. </w:t>
      </w:r>
    </w:p>
    <w:p w14:paraId="26205E13"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(h) Request for hearing. A request for a hearing is defined as a clear expression, oral or written, by the household or its representative to the effect that it wishes to appeal a decision or that an opportunity to present its case to a higher authority is desired. If it is unclear from the household's request what action it wishes to appeal, the </w:t>
      </w:r>
      <w:hyperlink r:id="rId3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may request the household to clarify its grievance. The freedom to make a request for a hearing shall not be limited or interfered with in any way. </w:t>
      </w:r>
    </w:p>
    <w:p w14:paraId="42C5D5E5"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w:t>
      </w:r>
      <w:proofErr w:type="spellStart"/>
      <w:r w:rsidRPr="009C16DC">
        <w:rPr>
          <w:rFonts w:ascii="Times New Roman" w:eastAsia="Times New Roman" w:hAnsi="Times New Roman" w:cs="Times New Roman"/>
          <w:kern w:val="0"/>
          <w14:ligatures w14:val="none"/>
        </w:rPr>
        <w:t>i</w:t>
      </w:r>
      <w:proofErr w:type="spellEnd"/>
      <w:r w:rsidRPr="009C16DC">
        <w:rPr>
          <w:rFonts w:ascii="Times New Roman" w:eastAsia="Times New Roman" w:hAnsi="Times New Roman" w:cs="Times New Roman"/>
          <w:kern w:val="0"/>
          <w14:ligatures w14:val="none"/>
        </w:rPr>
        <w:t xml:space="preserve">) State agency responsibilities on hearing requests. </w:t>
      </w:r>
    </w:p>
    <w:p w14:paraId="3AAB879C"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(1) Upon request, the </w:t>
      </w:r>
      <w:hyperlink r:id="rId3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make available without charge the specific materials necessary for a household or its representative to determine whether a hearing should be </w:t>
      </w:r>
      <w:r w:rsidRPr="009C16DC">
        <w:rPr>
          <w:rFonts w:ascii="Times New Roman" w:eastAsia="Times New Roman" w:hAnsi="Times New Roman" w:cs="Times New Roman"/>
          <w:kern w:val="0"/>
          <w14:ligatures w14:val="none"/>
        </w:rPr>
        <w:lastRenderedPageBreak/>
        <w:t xml:space="preserve">requested or to prepare for a hearing. If the individual making the request speaks a language other than English and the </w:t>
      </w:r>
      <w:hyperlink r:id="rId40"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is required by </w:t>
      </w:r>
      <w:hyperlink r:id="rId41" w:anchor="c_3" w:history="1">
        <w:r w:rsidRPr="009C16DC">
          <w:rPr>
            <w:rFonts w:ascii="Times New Roman" w:eastAsia="Times New Roman" w:hAnsi="Times New Roman" w:cs="Times New Roman"/>
            <w:color w:val="0000FF"/>
            <w:kern w:val="0"/>
            <w:u w:val="single"/>
            <w14:ligatures w14:val="none"/>
          </w:rPr>
          <w:t>§ 272.4(c)(3)</w:t>
        </w:r>
      </w:hyperlink>
      <w:r w:rsidRPr="009C16DC">
        <w:rPr>
          <w:rFonts w:ascii="Times New Roman" w:eastAsia="Times New Roman" w:hAnsi="Times New Roman" w:cs="Times New Roman"/>
          <w:kern w:val="0"/>
          <w14:ligatures w14:val="none"/>
        </w:rPr>
        <w:t xml:space="preserve"> to provide bilingual staff or interpreters who speak the appropriate language, the </w:t>
      </w:r>
      <w:hyperlink r:id="rId42"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insure that the hearing procedures are verbally explained in that language. Upon request, the </w:t>
      </w:r>
      <w:hyperlink r:id="rId4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also help a household with its hearing request. If a household makes an oral request for a hearing, the </w:t>
      </w:r>
      <w:hyperlink r:id="rId4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complete the procedures necessary to start the hearing process. Households shall be advised of any legal </w:t>
      </w:r>
      <w:hyperlink r:id="rId45" w:history="1">
        <w:r w:rsidRPr="009C16DC">
          <w:rPr>
            <w:rFonts w:ascii="Times New Roman" w:eastAsia="Times New Roman" w:hAnsi="Times New Roman" w:cs="Times New Roman"/>
            <w:color w:val="0000FF"/>
            <w:kern w:val="0"/>
            <w:u w:val="single"/>
            <w14:ligatures w14:val="none"/>
          </w:rPr>
          <w:t>services</w:t>
        </w:r>
      </w:hyperlink>
      <w:r w:rsidRPr="009C16DC">
        <w:rPr>
          <w:rFonts w:ascii="Times New Roman" w:eastAsia="Times New Roman" w:hAnsi="Times New Roman" w:cs="Times New Roman"/>
          <w:kern w:val="0"/>
          <w14:ligatures w14:val="none"/>
        </w:rPr>
        <w:t xml:space="preserve"> available that can provide representation at the hearing. </w:t>
      </w:r>
    </w:p>
    <w:p w14:paraId="617E4835"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The </w:t>
      </w:r>
      <w:hyperlink r:id="rId4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expedite hearing requests from households, such as migrant farmworkers, that plan to move from the </w:t>
      </w:r>
      <w:hyperlink r:id="rId47" w:history="1">
        <w:r w:rsidRPr="009C16DC">
          <w:rPr>
            <w:rFonts w:ascii="Times New Roman" w:eastAsia="Times New Roman" w:hAnsi="Times New Roman" w:cs="Times New Roman"/>
            <w:color w:val="0000FF"/>
            <w:kern w:val="0"/>
            <w:u w:val="single"/>
            <w14:ligatures w14:val="none"/>
          </w:rPr>
          <w:t>jurisdiction</w:t>
        </w:r>
      </w:hyperlink>
      <w:r w:rsidRPr="009C16DC">
        <w:rPr>
          <w:rFonts w:ascii="Times New Roman" w:eastAsia="Times New Roman" w:hAnsi="Times New Roman" w:cs="Times New Roman"/>
          <w:kern w:val="0"/>
          <w14:ligatures w14:val="none"/>
        </w:rPr>
        <w:t xml:space="preserve"> of the hearing official before the hearing decision would normally be reached. Hearing requests from these households shall be processed faster than others if necessary to enable them to receive a decision and a restoration of benefits if the decision so indicates before they leave the area. </w:t>
      </w:r>
    </w:p>
    <w:p w14:paraId="44A4FF9B"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(3) The </w:t>
      </w:r>
      <w:hyperlink r:id="rId4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publish clearly written uniform rules of procedure that conform to these regulations and shall make the rules available to any interested party. At a minimum, the uniform rules of procedure shall include the time limits for hearing requests as specified in </w:t>
      </w:r>
      <w:hyperlink r:id="rId49" w:anchor="g" w:history="1">
        <w:r w:rsidRPr="009C16DC">
          <w:rPr>
            <w:rFonts w:ascii="Times New Roman" w:eastAsia="Times New Roman" w:hAnsi="Times New Roman" w:cs="Times New Roman"/>
            <w:color w:val="0000FF"/>
            <w:kern w:val="0"/>
            <w:u w:val="single"/>
            <w14:ligatures w14:val="none"/>
          </w:rPr>
          <w:t>paragraph (g)</w:t>
        </w:r>
      </w:hyperlink>
      <w:r w:rsidRPr="009C16DC">
        <w:rPr>
          <w:rFonts w:ascii="Times New Roman" w:eastAsia="Times New Roman" w:hAnsi="Times New Roman" w:cs="Times New Roman"/>
          <w:kern w:val="0"/>
          <w14:ligatures w14:val="none"/>
        </w:rPr>
        <w:t xml:space="preserve"> of this section, advance notification requirements as specified in </w:t>
      </w:r>
      <w:hyperlink r:id="rId50" w:anchor="i_1" w:history="1">
        <w:r w:rsidRPr="009C16DC">
          <w:rPr>
            <w:rFonts w:ascii="Times New Roman" w:eastAsia="Times New Roman" w:hAnsi="Times New Roman" w:cs="Times New Roman"/>
            <w:color w:val="0000FF"/>
            <w:kern w:val="0"/>
            <w:u w:val="single"/>
            <w14:ligatures w14:val="none"/>
          </w:rPr>
          <w:t>paragraph (</w:t>
        </w:r>
        <w:proofErr w:type="spellStart"/>
        <w:r w:rsidRPr="009C16DC">
          <w:rPr>
            <w:rFonts w:ascii="Times New Roman" w:eastAsia="Times New Roman" w:hAnsi="Times New Roman" w:cs="Times New Roman"/>
            <w:color w:val="0000FF"/>
            <w:kern w:val="0"/>
            <w:u w:val="single"/>
            <w14:ligatures w14:val="none"/>
          </w:rPr>
          <w:t>i</w:t>
        </w:r>
        <w:proofErr w:type="spellEnd"/>
        <w:r w:rsidRPr="009C16DC">
          <w:rPr>
            <w:rFonts w:ascii="Times New Roman" w:eastAsia="Times New Roman" w:hAnsi="Times New Roman" w:cs="Times New Roman"/>
            <w:color w:val="0000FF"/>
            <w:kern w:val="0"/>
            <w:u w:val="single"/>
            <w14:ligatures w14:val="none"/>
          </w:rPr>
          <w:t>)(1)</w:t>
        </w:r>
      </w:hyperlink>
      <w:r w:rsidRPr="009C16DC">
        <w:rPr>
          <w:rFonts w:ascii="Times New Roman" w:eastAsia="Times New Roman" w:hAnsi="Times New Roman" w:cs="Times New Roman"/>
          <w:kern w:val="0"/>
          <w14:ligatures w14:val="none"/>
        </w:rPr>
        <w:t xml:space="preserve"> of this section, hearing timeliness standards as specified in </w:t>
      </w:r>
      <w:hyperlink r:id="rId51" w:anchor="c" w:history="1">
        <w:r w:rsidRPr="009C16DC">
          <w:rPr>
            <w:rFonts w:ascii="Times New Roman" w:eastAsia="Times New Roman" w:hAnsi="Times New Roman" w:cs="Times New Roman"/>
            <w:color w:val="0000FF"/>
            <w:kern w:val="0"/>
            <w:u w:val="single"/>
            <w14:ligatures w14:val="none"/>
          </w:rPr>
          <w:t>paragraph (c)</w:t>
        </w:r>
      </w:hyperlink>
      <w:r w:rsidRPr="009C16DC">
        <w:rPr>
          <w:rFonts w:ascii="Times New Roman" w:eastAsia="Times New Roman" w:hAnsi="Times New Roman" w:cs="Times New Roman"/>
          <w:kern w:val="0"/>
          <w14:ligatures w14:val="none"/>
        </w:rPr>
        <w:t xml:space="preserve"> of this section, and the rights and responsibilities of </w:t>
      </w:r>
      <w:hyperlink r:id="rId52" w:history="1">
        <w:r w:rsidRPr="009C16DC">
          <w:rPr>
            <w:rFonts w:ascii="Times New Roman" w:eastAsia="Times New Roman" w:hAnsi="Times New Roman" w:cs="Times New Roman"/>
            <w:color w:val="0000FF"/>
            <w:kern w:val="0"/>
            <w:u w:val="single"/>
            <w14:ligatures w14:val="none"/>
          </w:rPr>
          <w:t>persons</w:t>
        </w:r>
      </w:hyperlink>
      <w:r w:rsidRPr="009C16DC">
        <w:rPr>
          <w:rFonts w:ascii="Times New Roman" w:eastAsia="Times New Roman" w:hAnsi="Times New Roman" w:cs="Times New Roman"/>
          <w:kern w:val="0"/>
          <w14:ligatures w14:val="none"/>
        </w:rPr>
        <w:t xml:space="preserve"> requesting a hearing as specified in </w:t>
      </w:r>
      <w:hyperlink r:id="rId53" w:anchor="p" w:history="1">
        <w:r w:rsidRPr="009C16DC">
          <w:rPr>
            <w:rFonts w:ascii="Times New Roman" w:eastAsia="Times New Roman" w:hAnsi="Times New Roman" w:cs="Times New Roman"/>
            <w:color w:val="0000FF"/>
            <w:kern w:val="0"/>
            <w:u w:val="single"/>
            <w14:ligatures w14:val="none"/>
          </w:rPr>
          <w:t>paragraph (p)</w:t>
        </w:r>
      </w:hyperlink>
      <w:r w:rsidRPr="009C16DC">
        <w:rPr>
          <w:rFonts w:ascii="Times New Roman" w:eastAsia="Times New Roman" w:hAnsi="Times New Roman" w:cs="Times New Roman"/>
          <w:kern w:val="0"/>
          <w14:ligatures w14:val="none"/>
        </w:rPr>
        <w:t xml:space="preserve"> of this section. </w:t>
      </w:r>
    </w:p>
    <w:p w14:paraId="08EEBBCC"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(j) Denial or dismissal of request for hearing. </w:t>
      </w:r>
    </w:p>
    <w:p w14:paraId="49A73675"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(1) The </w:t>
      </w:r>
      <w:hyperlink r:id="rId5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must not deny or dismiss a request for a hearing unless: </w:t>
      </w:r>
    </w:p>
    <w:p w14:paraId="2EE10CE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w:t>
      </w:r>
      <w:proofErr w:type="spellStart"/>
      <w:r w:rsidRPr="009C16DC">
        <w:rPr>
          <w:rFonts w:ascii="Times New Roman" w:eastAsia="Times New Roman" w:hAnsi="Times New Roman" w:cs="Times New Roman"/>
          <w:kern w:val="0"/>
          <w14:ligatures w14:val="none"/>
        </w:rPr>
        <w:t>i</w:t>
      </w:r>
      <w:proofErr w:type="spellEnd"/>
      <w:r w:rsidRPr="009C16DC">
        <w:rPr>
          <w:rFonts w:ascii="Times New Roman" w:eastAsia="Times New Roman" w:hAnsi="Times New Roman" w:cs="Times New Roman"/>
          <w:kern w:val="0"/>
          <w14:ligatures w14:val="none"/>
        </w:rPr>
        <w:t xml:space="preserve">) The </w:t>
      </w:r>
      <w:hyperlink r:id="rId5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does not receive the request within the appropriate time frame specified in </w:t>
      </w:r>
      <w:hyperlink r:id="rId56" w:anchor="g" w:history="1">
        <w:r w:rsidRPr="009C16DC">
          <w:rPr>
            <w:rFonts w:ascii="Times New Roman" w:eastAsia="Times New Roman" w:hAnsi="Times New Roman" w:cs="Times New Roman"/>
            <w:color w:val="0000FF"/>
            <w:kern w:val="0"/>
            <w:u w:val="single"/>
            <w14:ligatures w14:val="none"/>
          </w:rPr>
          <w:t>paragraph (g)</w:t>
        </w:r>
      </w:hyperlink>
      <w:r w:rsidRPr="009C16DC">
        <w:rPr>
          <w:rFonts w:ascii="Times New Roman" w:eastAsia="Times New Roman" w:hAnsi="Times New Roman" w:cs="Times New Roman"/>
          <w:kern w:val="0"/>
          <w14:ligatures w14:val="none"/>
        </w:rPr>
        <w:t xml:space="preserve"> of this section, provided that the </w:t>
      </w:r>
      <w:hyperlink r:id="rId5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considers untimely requests for hearings as requests for restoration of </w:t>
      </w:r>
      <w:hyperlink r:id="rId58" w:history="1">
        <w:r w:rsidRPr="009C16DC">
          <w:rPr>
            <w:rFonts w:ascii="Times New Roman" w:eastAsia="Times New Roman" w:hAnsi="Times New Roman" w:cs="Times New Roman"/>
            <w:color w:val="0000FF"/>
            <w:kern w:val="0"/>
            <w:u w:val="single"/>
            <w14:ligatures w14:val="none"/>
          </w:rPr>
          <w:t>lost</w:t>
        </w:r>
      </w:hyperlink>
      <w:r w:rsidRPr="009C16DC">
        <w:rPr>
          <w:rFonts w:ascii="Times New Roman" w:eastAsia="Times New Roman" w:hAnsi="Times New Roman" w:cs="Times New Roman"/>
          <w:kern w:val="0"/>
          <w14:ligatures w14:val="none"/>
        </w:rPr>
        <w:t xml:space="preserve"> benefits in accordance with § 273.17; </w:t>
      </w:r>
    </w:p>
    <w:p w14:paraId="0AB9EBEB"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(ii) The household or its representative fails, without good cause, to appear at the scheduled </w:t>
      </w:r>
      <w:proofErr w:type="gramStart"/>
      <w:r w:rsidRPr="009C16DC">
        <w:rPr>
          <w:rFonts w:ascii="Times New Roman" w:eastAsia="Times New Roman" w:hAnsi="Times New Roman" w:cs="Times New Roman"/>
          <w:kern w:val="0"/>
          <w14:ligatures w14:val="none"/>
        </w:rPr>
        <w:t>hearing;</w:t>
      </w:r>
      <w:proofErr w:type="gramEnd"/>
      <w:r w:rsidRPr="009C16DC">
        <w:rPr>
          <w:rFonts w:ascii="Times New Roman" w:eastAsia="Times New Roman" w:hAnsi="Times New Roman" w:cs="Times New Roman"/>
          <w:kern w:val="0"/>
          <w14:ligatures w14:val="none"/>
        </w:rPr>
        <w:t xml:space="preserve"> </w:t>
      </w:r>
    </w:p>
    <w:p w14:paraId="199C479A"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(iii) The household or its representative withdraws the request in writing; or </w:t>
      </w:r>
    </w:p>
    <w:p w14:paraId="1B739F63"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(iv) The household or its representative orally withdraws the request and the </w:t>
      </w:r>
      <w:hyperlink r:id="rId5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has elected to allow such oral requests. </w:t>
      </w:r>
    </w:p>
    <w:p w14:paraId="3DB65489"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The </w:t>
      </w:r>
      <w:hyperlink r:id="rId60"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electing to accept an oral expression from the household or its representative to withdraw a fair hearing may discuss the option with the household when it appears that the </w:t>
      </w:r>
      <w:hyperlink r:id="rId6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and household have resolved issues related to the fair hearing. However, the </w:t>
      </w:r>
      <w:hyperlink r:id="rId62"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is prohibited from coercion or actions which would influence the household or its representative to withdraw the household's fair hearing request. The </w:t>
      </w:r>
      <w:hyperlink r:id="rId6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must provide a written notice to the household within 10 days of the household's request confirming the withdrawal request and providing the household with an opportunity to request a hearing. The written notice must advise the household it has 10 days from the date it receives the </w:t>
      </w:r>
      <w:r w:rsidRPr="009C16DC">
        <w:rPr>
          <w:rFonts w:ascii="Times New Roman" w:eastAsia="Times New Roman" w:hAnsi="Times New Roman" w:cs="Times New Roman"/>
          <w:kern w:val="0"/>
          <w14:ligatures w14:val="none"/>
        </w:rPr>
        <w:lastRenderedPageBreak/>
        <w:t xml:space="preserve">notice to advise the </w:t>
      </w:r>
      <w:hyperlink r:id="rId6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of its desire to request, or reinstate, the hearing. If the household timely advises the </w:t>
      </w:r>
      <w:hyperlink r:id="rId6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that it wishes to reinstate the fair hearing, the </w:t>
      </w:r>
      <w:hyperlink r:id="rId6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must provide the household with a fair hearing, within the time frames specified in </w:t>
      </w:r>
      <w:hyperlink r:id="rId67" w:anchor="c" w:history="1">
        <w:r w:rsidRPr="009C16DC">
          <w:rPr>
            <w:rFonts w:ascii="Times New Roman" w:eastAsia="Times New Roman" w:hAnsi="Times New Roman" w:cs="Times New Roman"/>
            <w:color w:val="0000FF"/>
            <w:kern w:val="0"/>
            <w:u w:val="single"/>
            <w14:ligatures w14:val="none"/>
          </w:rPr>
          <w:t>paragraph (c)</w:t>
        </w:r>
      </w:hyperlink>
      <w:r w:rsidRPr="009C16DC">
        <w:rPr>
          <w:rFonts w:ascii="Times New Roman" w:eastAsia="Times New Roman" w:hAnsi="Times New Roman" w:cs="Times New Roman"/>
          <w:kern w:val="0"/>
          <w14:ligatures w14:val="none"/>
        </w:rPr>
        <w:t xml:space="preserve"> of this section and beginning the date the household advises the </w:t>
      </w:r>
      <w:hyperlink r:id="rId6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that it wishes to reinstate its request. The </w:t>
      </w:r>
      <w:hyperlink r:id="rId6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must reinstate a fair hearing as requested from a household at least once. The </w:t>
      </w:r>
      <w:hyperlink r:id="rId70"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must not deny a household's request for a fair hearing if the household is aggrieved by a </w:t>
      </w:r>
      <w:hyperlink r:id="rId7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action that differs from the reinstated action. </w:t>
      </w:r>
    </w:p>
    <w:p w14:paraId="16D5CEC2"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(k) Continuation of benefits. </w:t>
      </w:r>
    </w:p>
    <w:p w14:paraId="2369AACA"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(1) If a household requests a fair hearing within the period provided by the notice of adverse action, as set forth in </w:t>
      </w:r>
      <w:hyperlink r:id="rId72" w:history="1">
        <w:r w:rsidRPr="009C16DC">
          <w:rPr>
            <w:rFonts w:ascii="Times New Roman" w:eastAsia="Times New Roman" w:hAnsi="Times New Roman" w:cs="Times New Roman"/>
            <w:color w:val="0000FF"/>
            <w:kern w:val="0"/>
            <w:u w:val="single"/>
            <w14:ligatures w14:val="none"/>
          </w:rPr>
          <w:t>§ 273.13</w:t>
        </w:r>
      </w:hyperlink>
      <w:r w:rsidRPr="009C16DC">
        <w:rPr>
          <w:rFonts w:ascii="Times New Roman" w:eastAsia="Times New Roman" w:hAnsi="Times New Roman" w:cs="Times New Roman"/>
          <w:kern w:val="0"/>
          <w14:ligatures w14:val="none"/>
        </w:rPr>
        <w:t xml:space="preserve">, and its certification period has not expired, the household's participation in the program shall be continued on the basis authorized immediately prior to the notice of adverse action, unless the household specifically waives continuation of benefits. The form for requesting a fair hearing shall contain space for the household to indicate </w:t>
      </w:r>
      <w:proofErr w:type="gramStart"/>
      <w:r w:rsidRPr="009C16DC">
        <w:rPr>
          <w:rFonts w:ascii="Times New Roman" w:eastAsia="Times New Roman" w:hAnsi="Times New Roman" w:cs="Times New Roman"/>
          <w:kern w:val="0"/>
          <w14:ligatures w14:val="none"/>
        </w:rPr>
        <w:t>whether or not</w:t>
      </w:r>
      <w:proofErr w:type="gramEnd"/>
      <w:r w:rsidRPr="009C16DC">
        <w:rPr>
          <w:rFonts w:ascii="Times New Roman" w:eastAsia="Times New Roman" w:hAnsi="Times New Roman" w:cs="Times New Roman"/>
          <w:kern w:val="0"/>
          <w14:ligatures w14:val="none"/>
        </w:rPr>
        <w:t xml:space="preserve"> continued benefits are requested. If the form does not positively indicate that the household has waived continuation of benefits, the </w:t>
      </w:r>
      <w:hyperlink r:id="rId7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assume that continuation of benefits is desired and the benefits shall be issued accordingly. If the </w:t>
      </w:r>
      <w:hyperlink r:id="rId7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action is upheld by the hearing decision, a claim against the household shall be established for all </w:t>
      </w:r>
      <w:proofErr w:type="spellStart"/>
      <w:r w:rsidRPr="009C16DC">
        <w:rPr>
          <w:rFonts w:ascii="Times New Roman" w:eastAsia="Times New Roman" w:hAnsi="Times New Roman" w:cs="Times New Roman"/>
          <w:kern w:val="0"/>
          <w14:ligatures w14:val="none"/>
        </w:rPr>
        <w:t>overissuances</w:t>
      </w:r>
      <w:proofErr w:type="spellEnd"/>
      <w:r w:rsidRPr="009C16DC">
        <w:rPr>
          <w:rFonts w:ascii="Times New Roman" w:eastAsia="Times New Roman" w:hAnsi="Times New Roman" w:cs="Times New Roman"/>
          <w:kern w:val="0"/>
          <w14:ligatures w14:val="none"/>
        </w:rPr>
        <w:t xml:space="preserve">, with one exception. In the case of an EBT </w:t>
      </w:r>
      <w:hyperlink r:id="rId75" w:history="1">
        <w:r w:rsidRPr="009C16DC">
          <w:rPr>
            <w:rFonts w:ascii="Times New Roman" w:eastAsia="Times New Roman" w:hAnsi="Times New Roman" w:cs="Times New Roman"/>
            <w:color w:val="0000FF"/>
            <w:kern w:val="0"/>
            <w:u w:val="single"/>
            <w14:ligatures w14:val="none"/>
          </w:rPr>
          <w:t>adjustment</w:t>
        </w:r>
      </w:hyperlink>
      <w:r w:rsidRPr="009C16DC">
        <w:rPr>
          <w:rFonts w:ascii="Times New Roman" w:eastAsia="Times New Roman" w:hAnsi="Times New Roman" w:cs="Times New Roman"/>
          <w:kern w:val="0"/>
          <w14:ligatures w14:val="none"/>
        </w:rPr>
        <w:t xml:space="preserve">, as defined in </w:t>
      </w:r>
      <w:hyperlink r:id="rId76" w:anchor="f_4_ii" w:history="1">
        <w:r w:rsidRPr="009C16DC">
          <w:rPr>
            <w:rFonts w:ascii="Times New Roman" w:eastAsia="Times New Roman" w:hAnsi="Times New Roman" w:cs="Times New Roman"/>
            <w:color w:val="0000FF"/>
            <w:kern w:val="0"/>
            <w:u w:val="single"/>
            <w14:ligatures w14:val="none"/>
          </w:rPr>
          <w:t>§ 274.12(f)(4)(ii)</w:t>
        </w:r>
      </w:hyperlink>
      <w:r w:rsidRPr="009C16DC">
        <w:rPr>
          <w:rFonts w:ascii="Times New Roman" w:eastAsia="Times New Roman" w:hAnsi="Times New Roman" w:cs="Times New Roman"/>
          <w:kern w:val="0"/>
          <w14:ligatures w14:val="none"/>
        </w:rPr>
        <w:t xml:space="preserve"> of this chapter, once an adverse action is upheld, the </w:t>
      </w:r>
      <w:hyperlink r:id="rId7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immediately debit the household's account for the total amount </w:t>
      </w:r>
      <w:hyperlink r:id="rId78" w:history="1">
        <w:r w:rsidRPr="009C16DC">
          <w:rPr>
            <w:rFonts w:ascii="Times New Roman" w:eastAsia="Times New Roman" w:hAnsi="Times New Roman" w:cs="Times New Roman"/>
            <w:color w:val="0000FF"/>
            <w:kern w:val="0"/>
            <w:u w:val="single"/>
            <w14:ligatures w14:val="none"/>
          </w:rPr>
          <w:t>stated</w:t>
        </w:r>
      </w:hyperlink>
      <w:r w:rsidRPr="009C16DC">
        <w:rPr>
          <w:rFonts w:ascii="Times New Roman" w:eastAsia="Times New Roman" w:hAnsi="Times New Roman" w:cs="Times New Roman"/>
          <w:kern w:val="0"/>
          <w14:ligatures w14:val="none"/>
        </w:rPr>
        <w:t xml:space="preserve"> in its original notice. If there are no benefits or insufficient benefits remaining in the household's account at the time the </w:t>
      </w:r>
      <w:hyperlink r:id="rId7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action is upheld, the </w:t>
      </w:r>
      <w:hyperlink r:id="rId80"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may only make the </w:t>
      </w:r>
      <w:hyperlink r:id="rId81" w:history="1">
        <w:r w:rsidRPr="009C16DC">
          <w:rPr>
            <w:rFonts w:ascii="Times New Roman" w:eastAsia="Times New Roman" w:hAnsi="Times New Roman" w:cs="Times New Roman"/>
            <w:color w:val="0000FF"/>
            <w:kern w:val="0"/>
            <w:u w:val="single"/>
            <w14:ligatures w14:val="none"/>
          </w:rPr>
          <w:t>adjustment</w:t>
        </w:r>
      </w:hyperlink>
      <w:r w:rsidRPr="009C16DC">
        <w:rPr>
          <w:rFonts w:ascii="Times New Roman" w:eastAsia="Times New Roman" w:hAnsi="Times New Roman" w:cs="Times New Roman"/>
          <w:kern w:val="0"/>
          <w14:ligatures w14:val="none"/>
        </w:rPr>
        <w:t xml:space="preserve"> from the next month's benefits, regardless of whether this satisfies the full </w:t>
      </w:r>
      <w:hyperlink r:id="rId82" w:history="1">
        <w:r w:rsidRPr="009C16DC">
          <w:rPr>
            <w:rFonts w:ascii="Times New Roman" w:eastAsia="Times New Roman" w:hAnsi="Times New Roman" w:cs="Times New Roman"/>
            <w:color w:val="0000FF"/>
            <w:kern w:val="0"/>
            <w:u w:val="single"/>
            <w14:ligatures w14:val="none"/>
          </w:rPr>
          <w:t>adjustment</w:t>
        </w:r>
      </w:hyperlink>
      <w:r w:rsidRPr="009C16DC">
        <w:rPr>
          <w:rFonts w:ascii="Times New Roman" w:eastAsia="Times New Roman" w:hAnsi="Times New Roman" w:cs="Times New Roman"/>
          <w:kern w:val="0"/>
          <w14:ligatures w14:val="none"/>
        </w:rPr>
        <w:t xml:space="preserve"> amount. If a hearing request is not made within the period provided by the notice of adverse action, benefits shall be reduced or terminated as provided in the notice. However, if the household establishes that its failure to make the request within the advance notice period was for good cause, the </w:t>
      </w:r>
      <w:hyperlink r:id="rId8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reinstate the benefits to the prior basis. When benefits are reduced or terminated due to a mass change, participation on the prior basis shall be reinstated only if the issue being contested is that SNAP eligibility or benefits were improperly computed or that Federal law or regulation is being misapplied or misinterpreted by the </w:t>
      </w:r>
      <w:hyperlink r:id="rId8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w:t>
      </w:r>
    </w:p>
    <w:p w14:paraId="27C9D7B5"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(2) Once continued or rein</w:t>
      </w:r>
      <w:hyperlink r:id="rId85" w:history="1">
        <w:r w:rsidRPr="009C16DC">
          <w:rPr>
            <w:rFonts w:ascii="Times New Roman" w:eastAsia="Times New Roman" w:hAnsi="Times New Roman" w:cs="Times New Roman"/>
            <w:color w:val="0000FF"/>
            <w:kern w:val="0"/>
            <w:u w:val="single"/>
            <w14:ligatures w14:val="none"/>
          </w:rPr>
          <w:t>stated</w:t>
        </w:r>
      </w:hyperlink>
      <w:r w:rsidRPr="009C16DC">
        <w:rPr>
          <w:rFonts w:ascii="Times New Roman" w:eastAsia="Times New Roman" w:hAnsi="Times New Roman" w:cs="Times New Roman"/>
          <w:kern w:val="0"/>
          <w14:ligatures w14:val="none"/>
        </w:rPr>
        <w:t xml:space="preserve">, the </w:t>
      </w:r>
      <w:hyperlink r:id="rId8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must not reduce or terminate benefits prior to the receipt of the official hearing decision unless: </w:t>
      </w:r>
    </w:p>
    <w:p w14:paraId="056509C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w:t>
      </w:r>
      <w:proofErr w:type="spellStart"/>
      <w:r w:rsidRPr="009C16DC">
        <w:rPr>
          <w:rFonts w:ascii="Times New Roman" w:eastAsia="Times New Roman" w:hAnsi="Times New Roman" w:cs="Times New Roman"/>
          <w:kern w:val="0"/>
          <w14:ligatures w14:val="none"/>
        </w:rPr>
        <w:t>i</w:t>
      </w:r>
      <w:proofErr w:type="spellEnd"/>
      <w:r w:rsidRPr="009C16DC">
        <w:rPr>
          <w:rFonts w:ascii="Times New Roman" w:eastAsia="Times New Roman" w:hAnsi="Times New Roman" w:cs="Times New Roman"/>
          <w:kern w:val="0"/>
          <w14:ligatures w14:val="none"/>
        </w:rPr>
        <w:t xml:space="preserve">) The certification period expires. The household may reapply and may be determined eligible for a new certification period with a benefit amount as determined by the </w:t>
      </w:r>
      <w:hyperlink r:id="rId8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w:t>
      </w:r>
    </w:p>
    <w:p w14:paraId="1035EF84"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(ii) The hearing official makes a preliminary determination, in writing and at the hearing, that the sole issue is one of Federal law or regulation and that the household's claim that the </w:t>
      </w:r>
      <w:hyperlink r:id="rId8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improperly computed the benefits or misinterpreted or misapplied such law or regulation is invalid; </w:t>
      </w:r>
    </w:p>
    <w:p w14:paraId="00325FF7"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lastRenderedPageBreak/>
        <w:t xml:space="preserve">(iii) A change affecting the household's eligibility or basis of issuance occurs while the hearing decision is </w:t>
      </w:r>
      <w:proofErr w:type="gramStart"/>
      <w:r w:rsidRPr="009C16DC">
        <w:rPr>
          <w:rFonts w:ascii="Times New Roman" w:eastAsia="Times New Roman" w:hAnsi="Times New Roman" w:cs="Times New Roman"/>
          <w:kern w:val="0"/>
          <w14:ligatures w14:val="none"/>
        </w:rPr>
        <w:t>pending</w:t>
      </w:r>
      <w:proofErr w:type="gramEnd"/>
      <w:r w:rsidRPr="009C16DC">
        <w:rPr>
          <w:rFonts w:ascii="Times New Roman" w:eastAsia="Times New Roman" w:hAnsi="Times New Roman" w:cs="Times New Roman"/>
          <w:kern w:val="0"/>
          <w14:ligatures w14:val="none"/>
        </w:rPr>
        <w:t xml:space="preserve"> and the household fails to request a hearing after the subsequent notice of adverse action; </w:t>
      </w:r>
    </w:p>
    <w:p w14:paraId="2798455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(iv) A mass change affecting the household's eligibility or basis of issuance occurs while the hearing decision is pending; or </w:t>
      </w:r>
    </w:p>
    <w:p w14:paraId="17AA21A9"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(v) The household, or its representative, orally withdrew its request for a fair hearing and did not advise the </w:t>
      </w:r>
      <w:hyperlink r:id="rId8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of its desire to reinstate the fair hearing within the time frame specified in </w:t>
      </w:r>
      <w:hyperlink r:id="rId90" w:anchor="j_2" w:history="1">
        <w:r w:rsidRPr="009C16DC">
          <w:rPr>
            <w:rFonts w:ascii="Times New Roman" w:eastAsia="Times New Roman" w:hAnsi="Times New Roman" w:cs="Times New Roman"/>
            <w:color w:val="0000FF"/>
            <w:kern w:val="0"/>
            <w:u w:val="single"/>
            <w14:ligatures w14:val="none"/>
          </w:rPr>
          <w:t>paragraph (j)(2)</w:t>
        </w:r>
      </w:hyperlink>
      <w:r w:rsidRPr="009C16DC">
        <w:rPr>
          <w:rFonts w:ascii="Times New Roman" w:eastAsia="Times New Roman" w:hAnsi="Times New Roman" w:cs="Times New Roman"/>
          <w:kern w:val="0"/>
          <w14:ligatures w14:val="none"/>
        </w:rPr>
        <w:t xml:space="preserve"> of this section. </w:t>
      </w:r>
    </w:p>
    <w:p w14:paraId="74DA1194"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(3) The </w:t>
      </w:r>
      <w:hyperlink r:id="rId9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promptly inform the household in writing if benefits are reduced or terminated pending the hearing decision. </w:t>
      </w:r>
    </w:p>
    <w:p w14:paraId="6CE15C04"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(l) Notification of time and place of hearing. The time, date, and place of the hearing shall be arranged so that the hearing is accessible to the household. At least 10 days prior to the hearing, advance written notice shall be provided to all parties involved to permit adequate preparation of the case. However, the household may request less advance notice to expedite the scheduling of the hearing. The notice shall: </w:t>
      </w:r>
    </w:p>
    <w:p w14:paraId="1C93EC08"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(1) Advise the household or its representative of the name, address, and phone number of the </w:t>
      </w:r>
      <w:hyperlink r:id="rId92" w:history="1">
        <w:r w:rsidRPr="009C16DC">
          <w:rPr>
            <w:rFonts w:ascii="Times New Roman" w:eastAsia="Times New Roman" w:hAnsi="Times New Roman" w:cs="Times New Roman"/>
            <w:color w:val="0000FF"/>
            <w:kern w:val="0"/>
            <w:u w:val="single"/>
            <w14:ligatures w14:val="none"/>
          </w:rPr>
          <w:t>person</w:t>
        </w:r>
      </w:hyperlink>
      <w:r w:rsidRPr="009C16DC">
        <w:rPr>
          <w:rFonts w:ascii="Times New Roman" w:eastAsia="Times New Roman" w:hAnsi="Times New Roman" w:cs="Times New Roman"/>
          <w:kern w:val="0"/>
          <w14:ligatures w14:val="none"/>
        </w:rPr>
        <w:t xml:space="preserve"> to notify in the event it is not possible for the household to attend the scheduled hearing. </w:t>
      </w:r>
    </w:p>
    <w:p w14:paraId="71D2BC01"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Specify that the </w:t>
      </w:r>
      <w:hyperlink r:id="rId9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will dismiss the hearing request if the household or its representative fails to appear for the hearing without good cause. </w:t>
      </w:r>
    </w:p>
    <w:p w14:paraId="3C836F0B"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(3) Include the </w:t>
      </w:r>
      <w:hyperlink r:id="rId9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hearing procedures and any other information that would provide the household with an understanding of the proceedings and that would contribute to the effective presentation of the household's case. </w:t>
      </w:r>
    </w:p>
    <w:p w14:paraId="1947DC6E"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(4) Explain that the household or representative may examine the case file prior to the hearing. </w:t>
      </w:r>
    </w:p>
    <w:p w14:paraId="74E01CDB"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(m) Hearing official. Hearings shall be conducted by an impartial official(s) who: Does not have any personal stake or involvement in the case; was not directly involved in the initial determination of the action which is being contested; and was not the immediate supervisor of the eligibility worker who took the action. </w:t>
      </w:r>
      <w:hyperlink r:id="rId9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hearings shall be conducted by </w:t>
      </w:r>
      <w:hyperlink r:id="rId9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personnel and shall not be conducted by local level personnel. </w:t>
      </w:r>
    </w:p>
    <w:p w14:paraId="54C006E7"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(1) Designation of hearing official. The hearing official shall be: </w:t>
      </w:r>
    </w:p>
    <w:p w14:paraId="65D5A3C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w:t>
      </w:r>
      <w:proofErr w:type="spellStart"/>
      <w:r w:rsidRPr="009C16DC">
        <w:rPr>
          <w:rFonts w:ascii="Times New Roman" w:eastAsia="Times New Roman" w:hAnsi="Times New Roman" w:cs="Times New Roman"/>
          <w:kern w:val="0"/>
          <w14:ligatures w14:val="none"/>
        </w:rPr>
        <w:t>i</w:t>
      </w:r>
      <w:proofErr w:type="spellEnd"/>
      <w:r w:rsidRPr="009C16DC">
        <w:rPr>
          <w:rFonts w:ascii="Times New Roman" w:eastAsia="Times New Roman" w:hAnsi="Times New Roman" w:cs="Times New Roman"/>
          <w:kern w:val="0"/>
          <w14:ligatures w14:val="none"/>
        </w:rPr>
        <w:t xml:space="preserve">) An employee of the </w:t>
      </w:r>
      <w:hyperlink r:id="rId9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w:t>
      </w:r>
    </w:p>
    <w:p w14:paraId="4FFA1883"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(ii) An individual under contract with the </w:t>
      </w:r>
      <w:hyperlink r:id="rId9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w:t>
      </w:r>
    </w:p>
    <w:p w14:paraId="488B2B09"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(iii) An employee of another public agency designated by the </w:t>
      </w:r>
      <w:hyperlink r:id="rId9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to conduct hearings; </w:t>
      </w:r>
    </w:p>
    <w:p w14:paraId="1DFEE31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lastRenderedPageBreak/>
        <w:t xml:space="preserve">(iv) A member or official of a statutory board or other legal entity designated by the </w:t>
      </w:r>
      <w:hyperlink r:id="rId100"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to conduct hearings; or </w:t>
      </w:r>
    </w:p>
    <w:p w14:paraId="565BD07C"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(v) An executive officer of the </w:t>
      </w:r>
      <w:hyperlink r:id="rId10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 panel of officials of the </w:t>
      </w:r>
      <w:hyperlink r:id="rId102"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or a </w:t>
      </w:r>
      <w:hyperlink r:id="rId103" w:history="1">
        <w:r w:rsidRPr="009C16DC">
          <w:rPr>
            <w:rFonts w:ascii="Times New Roman" w:eastAsia="Times New Roman" w:hAnsi="Times New Roman" w:cs="Times New Roman"/>
            <w:color w:val="0000FF"/>
            <w:kern w:val="0"/>
            <w:u w:val="single"/>
            <w14:ligatures w14:val="none"/>
          </w:rPr>
          <w:t>person</w:t>
        </w:r>
      </w:hyperlink>
      <w:r w:rsidRPr="009C16DC">
        <w:rPr>
          <w:rFonts w:ascii="Times New Roman" w:eastAsia="Times New Roman" w:hAnsi="Times New Roman" w:cs="Times New Roman"/>
          <w:kern w:val="0"/>
          <w14:ligatures w14:val="none"/>
        </w:rPr>
        <w:t xml:space="preserve"> or </w:t>
      </w:r>
      <w:hyperlink r:id="rId104" w:history="1">
        <w:r w:rsidRPr="009C16DC">
          <w:rPr>
            <w:rFonts w:ascii="Times New Roman" w:eastAsia="Times New Roman" w:hAnsi="Times New Roman" w:cs="Times New Roman"/>
            <w:color w:val="0000FF"/>
            <w:kern w:val="0"/>
            <w:u w:val="single"/>
            <w14:ligatures w14:val="none"/>
          </w:rPr>
          <w:t>persons</w:t>
        </w:r>
      </w:hyperlink>
      <w:r w:rsidRPr="009C16DC">
        <w:rPr>
          <w:rFonts w:ascii="Times New Roman" w:eastAsia="Times New Roman" w:hAnsi="Times New Roman" w:cs="Times New Roman"/>
          <w:kern w:val="0"/>
          <w14:ligatures w14:val="none"/>
        </w:rPr>
        <w:t xml:space="preserve"> expressly appointed to conduct </w:t>
      </w:r>
      <w:hyperlink r:id="rId10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hearings or to review </w:t>
      </w:r>
      <w:hyperlink r:id="rId10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and/or local level hearing decisions. </w:t>
      </w:r>
    </w:p>
    <w:p w14:paraId="1B5A160B"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Power and duties. The hearing official shall: </w:t>
      </w:r>
    </w:p>
    <w:p w14:paraId="6A0C542C"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w:t>
      </w:r>
      <w:proofErr w:type="spellStart"/>
      <w:r w:rsidRPr="009C16DC">
        <w:rPr>
          <w:rFonts w:ascii="Times New Roman" w:eastAsia="Times New Roman" w:hAnsi="Times New Roman" w:cs="Times New Roman"/>
          <w:kern w:val="0"/>
          <w14:ligatures w14:val="none"/>
        </w:rPr>
        <w:t>i</w:t>
      </w:r>
      <w:proofErr w:type="spellEnd"/>
      <w:r w:rsidRPr="009C16DC">
        <w:rPr>
          <w:rFonts w:ascii="Times New Roman" w:eastAsia="Times New Roman" w:hAnsi="Times New Roman" w:cs="Times New Roman"/>
          <w:kern w:val="0"/>
          <w14:ligatures w14:val="none"/>
        </w:rPr>
        <w:t xml:space="preserve">) Administer oaths or affirmations if required by the </w:t>
      </w:r>
      <w:hyperlink r:id="rId10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w:t>
      </w:r>
    </w:p>
    <w:p w14:paraId="76061451"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(ii) </w:t>
      </w:r>
      <w:proofErr w:type="gramStart"/>
      <w:r w:rsidRPr="009C16DC">
        <w:rPr>
          <w:rFonts w:ascii="Times New Roman" w:eastAsia="Times New Roman" w:hAnsi="Times New Roman" w:cs="Times New Roman"/>
          <w:kern w:val="0"/>
          <w14:ligatures w14:val="none"/>
        </w:rPr>
        <w:t>Insure</w:t>
      </w:r>
      <w:proofErr w:type="gramEnd"/>
      <w:r w:rsidRPr="009C16DC">
        <w:rPr>
          <w:rFonts w:ascii="Times New Roman" w:eastAsia="Times New Roman" w:hAnsi="Times New Roman" w:cs="Times New Roman"/>
          <w:kern w:val="0"/>
          <w14:ligatures w14:val="none"/>
        </w:rPr>
        <w:t xml:space="preserve"> that all relevant issues are considered; </w:t>
      </w:r>
    </w:p>
    <w:p w14:paraId="62465CB0"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(iii) Request, receive and make part of the record all evidence determined necessary to decide the issues being </w:t>
      </w:r>
      <w:proofErr w:type="gramStart"/>
      <w:r w:rsidRPr="009C16DC">
        <w:rPr>
          <w:rFonts w:ascii="Times New Roman" w:eastAsia="Times New Roman" w:hAnsi="Times New Roman" w:cs="Times New Roman"/>
          <w:kern w:val="0"/>
          <w14:ligatures w14:val="none"/>
        </w:rPr>
        <w:t>raised;</w:t>
      </w:r>
      <w:proofErr w:type="gramEnd"/>
      <w:r w:rsidRPr="009C16DC">
        <w:rPr>
          <w:rFonts w:ascii="Times New Roman" w:eastAsia="Times New Roman" w:hAnsi="Times New Roman" w:cs="Times New Roman"/>
          <w:kern w:val="0"/>
          <w14:ligatures w14:val="none"/>
        </w:rPr>
        <w:t xml:space="preserve"> </w:t>
      </w:r>
    </w:p>
    <w:p w14:paraId="405EB01E"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(iv) Regulate the conduct and course of the hearing consistent with due process to insure an orderly </w:t>
      </w:r>
      <w:proofErr w:type="gramStart"/>
      <w:r w:rsidRPr="009C16DC">
        <w:rPr>
          <w:rFonts w:ascii="Times New Roman" w:eastAsia="Times New Roman" w:hAnsi="Times New Roman" w:cs="Times New Roman"/>
          <w:kern w:val="0"/>
          <w14:ligatures w14:val="none"/>
        </w:rPr>
        <w:t>hearing;</w:t>
      </w:r>
      <w:proofErr w:type="gramEnd"/>
      <w:r w:rsidRPr="009C16DC">
        <w:rPr>
          <w:rFonts w:ascii="Times New Roman" w:eastAsia="Times New Roman" w:hAnsi="Times New Roman" w:cs="Times New Roman"/>
          <w:kern w:val="0"/>
          <w14:ligatures w14:val="none"/>
        </w:rPr>
        <w:t xml:space="preserve"> </w:t>
      </w:r>
    </w:p>
    <w:p w14:paraId="0B97431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(v) Order, where relevant and useful, an independent medical assessment or professional evaluation from a source mutually satisfactory to the household and the </w:t>
      </w:r>
      <w:hyperlink r:id="rId10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w:t>
      </w:r>
    </w:p>
    <w:p w14:paraId="44F6B608"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(vi) Provide a hearing record and recommendation for final decision by the hearing authority; or, if the hearing official is the hearing authority, render a hearing decision in the name of the </w:t>
      </w:r>
      <w:hyperlink r:id="rId10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in accordance with </w:t>
      </w:r>
      <w:hyperlink r:id="rId110" w:anchor="q" w:history="1">
        <w:r w:rsidRPr="009C16DC">
          <w:rPr>
            <w:rFonts w:ascii="Times New Roman" w:eastAsia="Times New Roman" w:hAnsi="Times New Roman" w:cs="Times New Roman"/>
            <w:color w:val="0000FF"/>
            <w:kern w:val="0"/>
            <w:u w:val="single"/>
            <w14:ligatures w14:val="none"/>
          </w:rPr>
          <w:t>paragraph (q)</w:t>
        </w:r>
      </w:hyperlink>
      <w:r w:rsidRPr="009C16DC">
        <w:rPr>
          <w:rFonts w:ascii="Times New Roman" w:eastAsia="Times New Roman" w:hAnsi="Times New Roman" w:cs="Times New Roman"/>
          <w:kern w:val="0"/>
          <w14:ligatures w14:val="none"/>
        </w:rPr>
        <w:t xml:space="preserve"> of this section, which will resolve the dispute. </w:t>
      </w:r>
    </w:p>
    <w:p w14:paraId="47B22C78"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(n) Hearing authority. The hearing authority shall be the </w:t>
      </w:r>
      <w:hyperlink r:id="rId111" w:history="1">
        <w:r w:rsidRPr="009C16DC">
          <w:rPr>
            <w:rFonts w:ascii="Times New Roman" w:eastAsia="Times New Roman" w:hAnsi="Times New Roman" w:cs="Times New Roman"/>
            <w:color w:val="0000FF"/>
            <w:kern w:val="0"/>
            <w:u w:val="single"/>
            <w14:ligatures w14:val="none"/>
          </w:rPr>
          <w:t>person</w:t>
        </w:r>
      </w:hyperlink>
      <w:r w:rsidRPr="009C16DC">
        <w:rPr>
          <w:rFonts w:ascii="Times New Roman" w:eastAsia="Times New Roman" w:hAnsi="Times New Roman" w:cs="Times New Roman"/>
          <w:kern w:val="0"/>
          <w14:ligatures w14:val="none"/>
        </w:rPr>
        <w:t xml:space="preserve"> designated to render the final administrative decision in a hearing. The same </w:t>
      </w:r>
      <w:hyperlink r:id="rId112" w:history="1">
        <w:r w:rsidRPr="009C16DC">
          <w:rPr>
            <w:rFonts w:ascii="Times New Roman" w:eastAsia="Times New Roman" w:hAnsi="Times New Roman" w:cs="Times New Roman"/>
            <w:color w:val="0000FF"/>
            <w:kern w:val="0"/>
            <w:u w:val="single"/>
            <w14:ligatures w14:val="none"/>
          </w:rPr>
          <w:t>person</w:t>
        </w:r>
      </w:hyperlink>
      <w:r w:rsidRPr="009C16DC">
        <w:rPr>
          <w:rFonts w:ascii="Times New Roman" w:eastAsia="Times New Roman" w:hAnsi="Times New Roman" w:cs="Times New Roman"/>
          <w:kern w:val="0"/>
          <w14:ligatures w14:val="none"/>
        </w:rPr>
        <w:t xml:space="preserve"> may </w:t>
      </w:r>
      <w:hyperlink r:id="rId113" w:history="1">
        <w:r w:rsidRPr="009C16DC">
          <w:rPr>
            <w:rFonts w:ascii="Times New Roman" w:eastAsia="Times New Roman" w:hAnsi="Times New Roman" w:cs="Times New Roman"/>
            <w:color w:val="0000FF"/>
            <w:kern w:val="0"/>
            <w:u w:val="single"/>
            <w14:ligatures w14:val="none"/>
          </w:rPr>
          <w:t>act</w:t>
        </w:r>
      </w:hyperlink>
      <w:r w:rsidRPr="009C16DC">
        <w:rPr>
          <w:rFonts w:ascii="Times New Roman" w:eastAsia="Times New Roman" w:hAnsi="Times New Roman" w:cs="Times New Roman"/>
          <w:kern w:val="0"/>
          <w14:ligatures w14:val="none"/>
        </w:rPr>
        <w:t xml:space="preserve"> as both the hearing official and the hearing authority. The hearing authority shall be subject to the requirements specified in </w:t>
      </w:r>
      <w:hyperlink r:id="rId114" w:anchor="m" w:history="1">
        <w:r w:rsidRPr="009C16DC">
          <w:rPr>
            <w:rFonts w:ascii="Times New Roman" w:eastAsia="Times New Roman" w:hAnsi="Times New Roman" w:cs="Times New Roman"/>
            <w:color w:val="0000FF"/>
            <w:kern w:val="0"/>
            <w:u w:val="single"/>
            <w14:ligatures w14:val="none"/>
          </w:rPr>
          <w:t>paragraph (m)</w:t>
        </w:r>
      </w:hyperlink>
      <w:r w:rsidRPr="009C16DC">
        <w:rPr>
          <w:rFonts w:ascii="Times New Roman" w:eastAsia="Times New Roman" w:hAnsi="Times New Roman" w:cs="Times New Roman"/>
          <w:kern w:val="0"/>
          <w14:ligatures w14:val="none"/>
        </w:rPr>
        <w:t xml:space="preserve"> of this section. </w:t>
      </w:r>
    </w:p>
    <w:p w14:paraId="1960D016"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(o) Attendance at hearing. The hearing shall be attended by a representative of the </w:t>
      </w:r>
      <w:hyperlink r:id="rId11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and by the household and/or its representative. The hearing may also be attended by friends or relatives of the household if the household so chooses. The hearing official shall have the authority to limit the number of </w:t>
      </w:r>
      <w:hyperlink r:id="rId116" w:history="1">
        <w:r w:rsidRPr="009C16DC">
          <w:rPr>
            <w:rFonts w:ascii="Times New Roman" w:eastAsia="Times New Roman" w:hAnsi="Times New Roman" w:cs="Times New Roman"/>
            <w:color w:val="0000FF"/>
            <w:kern w:val="0"/>
            <w:u w:val="single"/>
            <w14:ligatures w14:val="none"/>
          </w:rPr>
          <w:t>persons</w:t>
        </w:r>
      </w:hyperlink>
      <w:r w:rsidRPr="009C16DC">
        <w:rPr>
          <w:rFonts w:ascii="Times New Roman" w:eastAsia="Times New Roman" w:hAnsi="Times New Roman" w:cs="Times New Roman"/>
          <w:kern w:val="0"/>
          <w14:ligatures w14:val="none"/>
        </w:rPr>
        <w:t xml:space="preserve"> in attendance at the hearing if space limitations exist. </w:t>
      </w:r>
    </w:p>
    <w:p w14:paraId="321BA353"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(p) Household rights during hearing. The household may not be familiar with the rules of </w:t>
      </w:r>
      <w:proofErr w:type="gramStart"/>
      <w:r w:rsidRPr="009C16DC">
        <w:rPr>
          <w:rFonts w:ascii="Times New Roman" w:eastAsia="Times New Roman" w:hAnsi="Times New Roman" w:cs="Times New Roman"/>
          <w:kern w:val="0"/>
          <w14:ligatures w14:val="none"/>
        </w:rPr>
        <w:t>order</w:t>
      </w:r>
      <w:proofErr w:type="gramEnd"/>
      <w:r w:rsidRPr="009C16DC">
        <w:rPr>
          <w:rFonts w:ascii="Times New Roman" w:eastAsia="Times New Roman" w:hAnsi="Times New Roman" w:cs="Times New Roman"/>
          <w:kern w:val="0"/>
          <w14:ligatures w14:val="none"/>
        </w:rPr>
        <w:t xml:space="preserve"> and it may be necessary to make particular efforts to arrive at the facts of the case in a way that makes the household feel most at ease. The household or its representative must be given adequate opportunity to: </w:t>
      </w:r>
    </w:p>
    <w:p w14:paraId="69557DFE"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(1) Examine all documents and records to be used at the hearing at a reasonable time before the date of the hearing as well as during the hearing. The contents of the case file including the application form and documents of verification used by the </w:t>
      </w:r>
      <w:hyperlink r:id="rId11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to establish the household's ineligibility or eligibility and allotment shall be made available, provided that confidential information, such as the names of individuals who have disclosed information about </w:t>
      </w:r>
      <w:r w:rsidRPr="009C16DC">
        <w:rPr>
          <w:rFonts w:ascii="Times New Roman" w:eastAsia="Times New Roman" w:hAnsi="Times New Roman" w:cs="Times New Roman"/>
          <w:kern w:val="0"/>
          <w14:ligatures w14:val="none"/>
        </w:rPr>
        <w:lastRenderedPageBreak/>
        <w:t xml:space="preserve">the household without its knowledge or the nature or status of pending criminal prosecutions, is protected from release. If requested by the household or its representative, the </w:t>
      </w:r>
      <w:hyperlink r:id="rId11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provide a free copy of the portions of the case file that are relevant to the hearing. Confidential information that is protected from release and other documents or records which the household will not otherwise have an opportunity to </w:t>
      </w:r>
      <w:proofErr w:type="gramStart"/>
      <w:r w:rsidRPr="009C16DC">
        <w:rPr>
          <w:rFonts w:ascii="Times New Roman" w:eastAsia="Times New Roman" w:hAnsi="Times New Roman" w:cs="Times New Roman"/>
          <w:kern w:val="0"/>
          <w14:ligatures w14:val="none"/>
        </w:rPr>
        <w:t>contest</w:t>
      </w:r>
      <w:proofErr w:type="gramEnd"/>
      <w:r w:rsidRPr="009C16DC">
        <w:rPr>
          <w:rFonts w:ascii="Times New Roman" w:eastAsia="Times New Roman" w:hAnsi="Times New Roman" w:cs="Times New Roman"/>
          <w:kern w:val="0"/>
          <w14:ligatures w14:val="none"/>
        </w:rPr>
        <w:t xml:space="preserve"> or challenge shall not be introduced at the hearing or affect the hearing official's decision. </w:t>
      </w:r>
    </w:p>
    <w:p w14:paraId="0FCF671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Present the case or have it presented by a legal counsel or other </w:t>
      </w:r>
      <w:hyperlink r:id="rId119" w:history="1">
        <w:r w:rsidRPr="009C16DC">
          <w:rPr>
            <w:rFonts w:ascii="Times New Roman" w:eastAsia="Times New Roman" w:hAnsi="Times New Roman" w:cs="Times New Roman"/>
            <w:color w:val="0000FF"/>
            <w:kern w:val="0"/>
            <w:u w:val="single"/>
            <w14:ligatures w14:val="none"/>
          </w:rPr>
          <w:t>person</w:t>
        </w:r>
      </w:hyperlink>
      <w:r w:rsidRPr="009C16DC">
        <w:rPr>
          <w:rFonts w:ascii="Times New Roman" w:eastAsia="Times New Roman" w:hAnsi="Times New Roman" w:cs="Times New Roman"/>
          <w:kern w:val="0"/>
          <w14:ligatures w14:val="none"/>
        </w:rPr>
        <w:t xml:space="preserve">. </w:t>
      </w:r>
    </w:p>
    <w:p w14:paraId="22B3CEAE"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(3) Bring witnesses. </w:t>
      </w:r>
    </w:p>
    <w:p w14:paraId="670CA873"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(4) Advance arguments without undue interference. </w:t>
      </w:r>
    </w:p>
    <w:p w14:paraId="6BA7294E"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(5) Question or refute any testimony or evidence, including an opportunity to confront and cross-examine adverse witnesses. </w:t>
      </w:r>
    </w:p>
    <w:p w14:paraId="06E873E6"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(6) Submit evidence to establish all pertinent facts and circumstances in the case. </w:t>
      </w:r>
    </w:p>
    <w:p w14:paraId="1EB2FB06"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(q) Hearing decisions. </w:t>
      </w:r>
    </w:p>
    <w:p w14:paraId="5354DF0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(1) Decisions of the hearing authority shall comply with Federal law and regulations and shall be based on the hearing record. The verbatim transcript or recording of testimony and exhibits, or an official report containing the substance of what transpired at the hearing, together with all papers and requests filed in the proceeding, shall constitute the exclusive record for a final decision by the hearing authority. This record shall be retained in accordance with </w:t>
      </w:r>
      <w:hyperlink r:id="rId120" w:anchor="f" w:history="1">
        <w:r w:rsidRPr="009C16DC">
          <w:rPr>
            <w:rFonts w:ascii="Times New Roman" w:eastAsia="Times New Roman" w:hAnsi="Times New Roman" w:cs="Times New Roman"/>
            <w:color w:val="0000FF"/>
            <w:kern w:val="0"/>
            <w:u w:val="single"/>
            <w14:ligatures w14:val="none"/>
          </w:rPr>
          <w:t>§ 272.1(f)</w:t>
        </w:r>
      </w:hyperlink>
      <w:r w:rsidRPr="009C16DC">
        <w:rPr>
          <w:rFonts w:ascii="Times New Roman" w:eastAsia="Times New Roman" w:hAnsi="Times New Roman" w:cs="Times New Roman"/>
          <w:kern w:val="0"/>
          <w14:ligatures w14:val="none"/>
        </w:rPr>
        <w:t xml:space="preserve">. This record shall also be available to the household or its representative at any reasonable time for copying and inspection. </w:t>
      </w:r>
    </w:p>
    <w:p w14:paraId="79FE2008"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A decision by the hearing authority shall be binding on the </w:t>
      </w:r>
      <w:hyperlink r:id="rId12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and shall summarize the facts of the case, specify the reasons for the decision, and identify the supporting evidence and the pertinent Federal regulations. The decision shall become a part of the record. </w:t>
      </w:r>
    </w:p>
    <w:p w14:paraId="251FCE17"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(3) The household and the local agency shall each be notified in writing of: The decision; the reasons for the decision in accordance with </w:t>
      </w:r>
      <w:hyperlink r:id="rId122" w:anchor="q_2" w:history="1">
        <w:r w:rsidRPr="009C16DC">
          <w:rPr>
            <w:rFonts w:ascii="Times New Roman" w:eastAsia="Times New Roman" w:hAnsi="Times New Roman" w:cs="Times New Roman"/>
            <w:color w:val="0000FF"/>
            <w:kern w:val="0"/>
            <w:u w:val="single"/>
            <w14:ligatures w14:val="none"/>
          </w:rPr>
          <w:t>paragraph (q)(2)</w:t>
        </w:r>
      </w:hyperlink>
      <w:r w:rsidRPr="009C16DC">
        <w:rPr>
          <w:rFonts w:ascii="Times New Roman" w:eastAsia="Times New Roman" w:hAnsi="Times New Roman" w:cs="Times New Roman"/>
          <w:kern w:val="0"/>
          <w14:ligatures w14:val="none"/>
        </w:rPr>
        <w:t xml:space="preserve"> of this section; the available appeal rights; and that the household's benefits will be issued or terminated as decided by the hearing authority. The notice shall also </w:t>
      </w:r>
      <w:hyperlink r:id="rId12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that an appeal may result in a reversal of the decision. The following are additional notice requirements and the available appeal rights: </w:t>
      </w:r>
    </w:p>
    <w:p w14:paraId="50321382"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w:t>
      </w:r>
      <w:proofErr w:type="spellStart"/>
      <w:r w:rsidRPr="009C16DC">
        <w:rPr>
          <w:rFonts w:ascii="Times New Roman" w:eastAsia="Times New Roman" w:hAnsi="Times New Roman" w:cs="Times New Roman"/>
          <w:kern w:val="0"/>
          <w14:ligatures w14:val="none"/>
        </w:rPr>
        <w:t>i</w:t>
      </w:r>
      <w:proofErr w:type="spellEnd"/>
      <w:r w:rsidRPr="009C16DC">
        <w:rPr>
          <w:rFonts w:ascii="Times New Roman" w:eastAsia="Times New Roman" w:hAnsi="Times New Roman" w:cs="Times New Roman"/>
          <w:kern w:val="0"/>
          <w14:ligatures w14:val="none"/>
        </w:rPr>
        <w:t xml:space="preserve">) After a </w:t>
      </w:r>
      <w:hyperlink r:id="rId12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 decision which upholds the </w:t>
      </w:r>
      <w:hyperlink r:id="rId12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action, the household shall be notified of the right to pursue judicial review of the decision. In addition, in </w:t>
      </w:r>
      <w:hyperlink r:id="rId126" w:history="1">
        <w:r w:rsidRPr="009C16DC">
          <w:rPr>
            <w:rFonts w:ascii="Times New Roman" w:eastAsia="Times New Roman" w:hAnsi="Times New Roman" w:cs="Times New Roman"/>
            <w:color w:val="0000FF"/>
            <w:kern w:val="0"/>
            <w:u w:val="single"/>
            <w14:ligatures w14:val="none"/>
          </w:rPr>
          <w:t>States</w:t>
        </w:r>
      </w:hyperlink>
      <w:r w:rsidRPr="009C16DC">
        <w:rPr>
          <w:rFonts w:ascii="Times New Roman" w:eastAsia="Times New Roman" w:hAnsi="Times New Roman" w:cs="Times New Roman"/>
          <w:kern w:val="0"/>
          <w14:ligatures w14:val="none"/>
        </w:rPr>
        <w:t xml:space="preserve"> which provide for </w:t>
      </w:r>
      <w:proofErr w:type="spellStart"/>
      <w:r w:rsidRPr="009C16DC">
        <w:rPr>
          <w:rFonts w:ascii="Times New Roman" w:eastAsia="Times New Roman" w:hAnsi="Times New Roman" w:cs="Times New Roman"/>
          <w:kern w:val="0"/>
          <w14:ligatures w14:val="none"/>
        </w:rPr>
        <w:t>rehearings</w:t>
      </w:r>
      <w:proofErr w:type="spellEnd"/>
      <w:r w:rsidRPr="009C16DC">
        <w:rPr>
          <w:rFonts w:ascii="Times New Roman" w:eastAsia="Times New Roman" w:hAnsi="Times New Roman" w:cs="Times New Roman"/>
          <w:kern w:val="0"/>
          <w14:ligatures w14:val="none"/>
        </w:rPr>
        <w:t xml:space="preserve"> of </w:t>
      </w:r>
      <w:hyperlink r:id="rId12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decisions, the household shall be notified of the right to pursue a rehearing. </w:t>
      </w:r>
    </w:p>
    <w:p w14:paraId="2C23432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(ii) After a local level hearing decision which upholds the </w:t>
      </w:r>
      <w:hyperlink r:id="rId12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action, the household shall be notified of the right to request a completely new </w:t>
      </w:r>
      <w:hyperlink r:id="rId12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level hearing, and that a reversal of the decision may result in the restoration of </w:t>
      </w:r>
      <w:hyperlink r:id="rId130" w:history="1">
        <w:r w:rsidRPr="009C16DC">
          <w:rPr>
            <w:rFonts w:ascii="Times New Roman" w:eastAsia="Times New Roman" w:hAnsi="Times New Roman" w:cs="Times New Roman"/>
            <w:color w:val="0000FF"/>
            <w:kern w:val="0"/>
            <w:u w:val="single"/>
            <w14:ligatures w14:val="none"/>
          </w:rPr>
          <w:t>lost</w:t>
        </w:r>
      </w:hyperlink>
      <w:r w:rsidRPr="009C16DC">
        <w:rPr>
          <w:rFonts w:ascii="Times New Roman" w:eastAsia="Times New Roman" w:hAnsi="Times New Roman" w:cs="Times New Roman"/>
          <w:kern w:val="0"/>
          <w14:ligatures w14:val="none"/>
        </w:rPr>
        <w:t xml:space="preserve"> benefits to the household. In addition, </w:t>
      </w:r>
      <w:r w:rsidRPr="009C16DC">
        <w:rPr>
          <w:rFonts w:ascii="Times New Roman" w:eastAsia="Times New Roman" w:hAnsi="Times New Roman" w:cs="Times New Roman"/>
          <w:kern w:val="0"/>
          <w14:ligatures w14:val="none"/>
        </w:rPr>
        <w:lastRenderedPageBreak/>
        <w:t xml:space="preserve">the household shall be advised that if a new hearing would pose an inconvenience to the household, a </w:t>
      </w:r>
      <w:hyperlink r:id="rId13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review of the decision based on the hearing record may be requested instead of a new hearing. A clear description of the two appeal procedures must be included to enable the household to make an informed </w:t>
      </w:r>
      <w:proofErr w:type="gramStart"/>
      <w:r w:rsidRPr="009C16DC">
        <w:rPr>
          <w:rFonts w:ascii="Times New Roman" w:eastAsia="Times New Roman" w:hAnsi="Times New Roman" w:cs="Times New Roman"/>
          <w:kern w:val="0"/>
          <w14:ligatures w14:val="none"/>
        </w:rPr>
        <w:t>choice, if</w:t>
      </w:r>
      <w:proofErr w:type="gramEnd"/>
      <w:r w:rsidRPr="009C16DC">
        <w:rPr>
          <w:rFonts w:ascii="Times New Roman" w:eastAsia="Times New Roman" w:hAnsi="Times New Roman" w:cs="Times New Roman"/>
          <w:kern w:val="0"/>
          <w14:ligatures w14:val="none"/>
        </w:rPr>
        <w:t xml:space="preserve"> it wishes to appeal. If the household indicates that it wishes to appeal, but does not select the method, the </w:t>
      </w:r>
      <w:hyperlink r:id="rId132"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proceed with a new </w:t>
      </w:r>
      <w:hyperlink r:id="rId13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 </w:t>
      </w:r>
    </w:p>
    <w:p w14:paraId="5FD53D8F"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(4) If the household wishes to appeal a local level hearing decision, the appeal request must be filed within 15 days of the mailing date of the hearing decision notice. Within 45 days of receipt of any request for a </w:t>
      </w:r>
      <w:hyperlink r:id="rId13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review of the decision or for a new </w:t>
      </w:r>
      <w:hyperlink r:id="rId13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 the </w:t>
      </w:r>
      <w:hyperlink r:id="rId136"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assure that the review or the hearing is conducted, and that a decision is reached and reflected in the SNAP benefit allotment. If a new hearing will not be held, the </w:t>
      </w:r>
      <w:hyperlink r:id="rId13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 official will review the local level hearing record to determine if the local decision was supported by substantial evidence. </w:t>
      </w:r>
      <w:hyperlink r:id="rId138"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review procedures shall provide for notifying the local agency and the household that each may file a summary of arguments which shall become a part of the record if timely received. Both parties shall be advised that failure to file a summary will not be considered in deciding the case and that the summary must be postmarked within 10 days of receipt of the notice. </w:t>
      </w:r>
    </w:p>
    <w:p w14:paraId="12A78ED6"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(5) All </w:t>
      </w:r>
      <w:hyperlink r:id="rId139"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hearing records and decisions shall be available for public inspection and copying, subject to the disclosure safeguards provided in </w:t>
      </w:r>
      <w:hyperlink r:id="rId140" w:anchor="c" w:history="1">
        <w:r w:rsidRPr="009C16DC">
          <w:rPr>
            <w:rFonts w:ascii="Times New Roman" w:eastAsia="Times New Roman" w:hAnsi="Times New Roman" w:cs="Times New Roman"/>
            <w:color w:val="0000FF"/>
            <w:kern w:val="0"/>
            <w:u w:val="single"/>
            <w14:ligatures w14:val="none"/>
          </w:rPr>
          <w:t>§ 272.1(c)</w:t>
        </w:r>
      </w:hyperlink>
      <w:r w:rsidRPr="009C16DC">
        <w:rPr>
          <w:rFonts w:ascii="Times New Roman" w:eastAsia="Times New Roman" w:hAnsi="Times New Roman" w:cs="Times New Roman"/>
          <w:kern w:val="0"/>
          <w14:ligatures w14:val="none"/>
        </w:rPr>
        <w:t xml:space="preserve">, and provided identifying names and addresses of household members and other members of the public are kept confidential. </w:t>
      </w:r>
    </w:p>
    <w:p w14:paraId="411F7332"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(r) Implementation of local level hearing decision. </w:t>
      </w:r>
    </w:p>
    <w:p w14:paraId="6E931BA1"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(1) In the event the local hearing decision upholds the </w:t>
      </w:r>
      <w:hyperlink r:id="rId14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action, any benefits to the household which were continued pending the hearing shall be discontinued beginning with the next scheduled issuance, regardless of whether or not an appeal is filed. Collection action for any claims against the household for </w:t>
      </w:r>
      <w:proofErr w:type="spellStart"/>
      <w:r w:rsidRPr="009C16DC">
        <w:rPr>
          <w:rFonts w:ascii="Times New Roman" w:eastAsia="Times New Roman" w:hAnsi="Times New Roman" w:cs="Times New Roman"/>
          <w:kern w:val="0"/>
          <w14:ligatures w14:val="none"/>
        </w:rPr>
        <w:t>overissuances</w:t>
      </w:r>
      <w:proofErr w:type="spellEnd"/>
      <w:r w:rsidRPr="009C16DC">
        <w:rPr>
          <w:rFonts w:ascii="Times New Roman" w:eastAsia="Times New Roman" w:hAnsi="Times New Roman" w:cs="Times New Roman"/>
          <w:kern w:val="0"/>
          <w14:ligatures w14:val="none"/>
        </w:rPr>
        <w:t xml:space="preserve"> shall be postponed until the 15-day appeal request period has elapsed, or if an appeal is requested, until the </w:t>
      </w:r>
      <w:hyperlink r:id="rId142"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upholds the decision of the local hearing authority. </w:t>
      </w:r>
    </w:p>
    <w:p w14:paraId="1C97E0DB"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(2) In the event the local hearing authority decides in favor of the household, benefits to the household shall begin or be rein</w:t>
      </w:r>
      <w:hyperlink r:id="rId143" w:history="1">
        <w:r w:rsidRPr="009C16DC">
          <w:rPr>
            <w:rFonts w:ascii="Times New Roman" w:eastAsia="Times New Roman" w:hAnsi="Times New Roman" w:cs="Times New Roman"/>
            <w:color w:val="0000FF"/>
            <w:kern w:val="0"/>
            <w:u w:val="single"/>
            <w14:ligatures w14:val="none"/>
          </w:rPr>
          <w:t>stated</w:t>
        </w:r>
      </w:hyperlink>
      <w:r w:rsidRPr="009C16DC">
        <w:rPr>
          <w:rFonts w:ascii="Times New Roman" w:eastAsia="Times New Roman" w:hAnsi="Times New Roman" w:cs="Times New Roman"/>
          <w:kern w:val="0"/>
          <w14:ligatures w14:val="none"/>
        </w:rPr>
        <w:t xml:space="preserve">, as required by the decision, within the 45-day time limit allowed for local hearing procedures. Any </w:t>
      </w:r>
      <w:hyperlink r:id="rId144" w:history="1">
        <w:r w:rsidRPr="009C16DC">
          <w:rPr>
            <w:rFonts w:ascii="Times New Roman" w:eastAsia="Times New Roman" w:hAnsi="Times New Roman" w:cs="Times New Roman"/>
            <w:color w:val="0000FF"/>
            <w:kern w:val="0"/>
            <w:u w:val="single"/>
            <w14:ligatures w14:val="none"/>
          </w:rPr>
          <w:t>lost</w:t>
        </w:r>
      </w:hyperlink>
      <w:r w:rsidRPr="009C16DC">
        <w:rPr>
          <w:rFonts w:ascii="Times New Roman" w:eastAsia="Times New Roman" w:hAnsi="Times New Roman" w:cs="Times New Roman"/>
          <w:kern w:val="0"/>
          <w14:ligatures w14:val="none"/>
        </w:rPr>
        <w:t xml:space="preserve"> benefits due to the household shall be issued as soon as administratively feasible. The </w:t>
      </w:r>
      <w:hyperlink r:id="rId14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restore benefits to households which are leaving the </w:t>
      </w:r>
      <w:hyperlink r:id="rId146"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 before the departure whenever possible. If benefits are not restored prior to the household's departure, the </w:t>
      </w:r>
      <w:hyperlink r:id="rId14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forward an authorization to the benefits to the household or to the new </w:t>
      </w:r>
      <w:hyperlink r:id="rId148"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 if this information is known. The new </w:t>
      </w:r>
      <w:hyperlink r:id="rId149"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 shall accept an authorization and issue the appropriate benefits whether the notice is presented by the household or received directly from another </w:t>
      </w:r>
      <w:hyperlink r:id="rId150"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 </w:t>
      </w:r>
    </w:p>
    <w:p w14:paraId="099A04A8"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(s) Implementation of final State agency decisions. The </w:t>
      </w:r>
      <w:hyperlink r:id="rId15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is responsible for insuring that all final hearing decisions are reflected in the household's SNAP benefit allotment within the time limits specified in </w:t>
      </w:r>
      <w:hyperlink r:id="rId152" w:anchor="c" w:history="1">
        <w:r w:rsidRPr="009C16DC">
          <w:rPr>
            <w:rFonts w:ascii="Times New Roman" w:eastAsia="Times New Roman" w:hAnsi="Times New Roman" w:cs="Times New Roman"/>
            <w:color w:val="0000FF"/>
            <w:kern w:val="0"/>
            <w:u w:val="single"/>
            <w14:ligatures w14:val="none"/>
          </w:rPr>
          <w:t>paragraph (c)</w:t>
        </w:r>
      </w:hyperlink>
      <w:r w:rsidRPr="009C16DC">
        <w:rPr>
          <w:rFonts w:ascii="Times New Roman" w:eastAsia="Times New Roman" w:hAnsi="Times New Roman" w:cs="Times New Roman"/>
          <w:kern w:val="0"/>
          <w14:ligatures w14:val="none"/>
        </w:rPr>
        <w:t xml:space="preserve"> of this section. </w:t>
      </w:r>
    </w:p>
    <w:p w14:paraId="74B1655D"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lastRenderedPageBreak/>
        <w:t xml:space="preserve">(1) When the hearing authority determines that a household has been improperly denied program benefits or has been issued a lesser allotment than was due, </w:t>
      </w:r>
      <w:hyperlink r:id="rId153" w:history="1">
        <w:r w:rsidRPr="009C16DC">
          <w:rPr>
            <w:rFonts w:ascii="Times New Roman" w:eastAsia="Times New Roman" w:hAnsi="Times New Roman" w:cs="Times New Roman"/>
            <w:color w:val="0000FF"/>
            <w:kern w:val="0"/>
            <w:u w:val="single"/>
            <w14:ligatures w14:val="none"/>
          </w:rPr>
          <w:t>lost</w:t>
        </w:r>
      </w:hyperlink>
      <w:r w:rsidRPr="009C16DC">
        <w:rPr>
          <w:rFonts w:ascii="Times New Roman" w:eastAsia="Times New Roman" w:hAnsi="Times New Roman" w:cs="Times New Roman"/>
          <w:kern w:val="0"/>
          <w14:ligatures w14:val="none"/>
        </w:rPr>
        <w:t xml:space="preserve"> benefits shall be provided to the household in accordance with </w:t>
      </w:r>
      <w:hyperlink r:id="rId154" w:history="1">
        <w:r w:rsidRPr="009C16DC">
          <w:rPr>
            <w:rFonts w:ascii="Times New Roman" w:eastAsia="Times New Roman" w:hAnsi="Times New Roman" w:cs="Times New Roman"/>
            <w:color w:val="0000FF"/>
            <w:kern w:val="0"/>
            <w:u w:val="single"/>
            <w14:ligatures w14:val="none"/>
          </w:rPr>
          <w:t>§ 273.17</w:t>
        </w:r>
      </w:hyperlink>
      <w:r w:rsidRPr="009C16DC">
        <w:rPr>
          <w:rFonts w:ascii="Times New Roman" w:eastAsia="Times New Roman" w:hAnsi="Times New Roman" w:cs="Times New Roman"/>
          <w:kern w:val="0"/>
          <w14:ligatures w14:val="none"/>
        </w:rPr>
        <w:t xml:space="preserve">. The </w:t>
      </w:r>
      <w:hyperlink r:id="rId15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restore benefits to households which are leaving the </w:t>
      </w:r>
      <w:hyperlink r:id="rId156"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 before the departure whenever possible. If benefits are not restored prior to the household's departure, the </w:t>
      </w:r>
      <w:hyperlink r:id="rId157"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forward an authorization to the benefits to the household or to the new </w:t>
      </w:r>
      <w:hyperlink r:id="rId158"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 if this information is known. The new </w:t>
      </w:r>
      <w:hyperlink r:id="rId159"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 shall accept an authorization and issue the appropriate benefits whether the notice is presented by the household or received directly from another </w:t>
      </w:r>
      <w:hyperlink r:id="rId160" w:history="1">
        <w:r w:rsidRPr="009C16DC">
          <w:rPr>
            <w:rFonts w:ascii="Times New Roman" w:eastAsia="Times New Roman" w:hAnsi="Times New Roman" w:cs="Times New Roman"/>
            <w:color w:val="0000FF"/>
            <w:kern w:val="0"/>
            <w:u w:val="single"/>
            <w14:ligatures w14:val="none"/>
          </w:rPr>
          <w:t>project</w:t>
        </w:r>
      </w:hyperlink>
      <w:r w:rsidRPr="009C16DC">
        <w:rPr>
          <w:rFonts w:ascii="Times New Roman" w:eastAsia="Times New Roman" w:hAnsi="Times New Roman" w:cs="Times New Roman"/>
          <w:kern w:val="0"/>
          <w14:ligatures w14:val="none"/>
        </w:rPr>
        <w:t xml:space="preserve"> area. </w:t>
      </w:r>
    </w:p>
    <w:p w14:paraId="548A93CD"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(2) When the hearing authority upholds the </w:t>
      </w:r>
      <w:hyperlink r:id="rId161"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agency's action, a claim against the household for any </w:t>
      </w:r>
      <w:proofErr w:type="spellStart"/>
      <w:r w:rsidRPr="009C16DC">
        <w:rPr>
          <w:rFonts w:ascii="Times New Roman" w:eastAsia="Times New Roman" w:hAnsi="Times New Roman" w:cs="Times New Roman"/>
          <w:kern w:val="0"/>
          <w14:ligatures w14:val="none"/>
        </w:rPr>
        <w:t>overissuances</w:t>
      </w:r>
      <w:proofErr w:type="spellEnd"/>
      <w:r w:rsidRPr="009C16DC">
        <w:rPr>
          <w:rFonts w:ascii="Times New Roman" w:eastAsia="Times New Roman" w:hAnsi="Times New Roman" w:cs="Times New Roman"/>
          <w:kern w:val="0"/>
          <w14:ligatures w14:val="none"/>
        </w:rPr>
        <w:t xml:space="preserve"> shall be prepared in accordance with </w:t>
      </w:r>
      <w:hyperlink r:id="rId162" w:history="1">
        <w:r w:rsidRPr="009C16DC">
          <w:rPr>
            <w:rFonts w:ascii="Times New Roman" w:eastAsia="Times New Roman" w:hAnsi="Times New Roman" w:cs="Times New Roman"/>
            <w:color w:val="0000FF"/>
            <w:kern w:val="0"/>
            <w:u w:val="single"/>
            <w14:ligatures w14:val="none"/>
          </w:rPr>
          <w:t>§ 273.18</w:t>
        </w:r>
      </w:hyperlink>
      <w:r w:rsidRPr="009C16DC">
        <w:rPr>
          <w:rFonts w:ascii="Times New Roman" w:eastAsia="Times New Roman" w:hAnsi="Times New Roman" w:cs="Times New Roman"/>
          <w:kern w:val="0"/>
          <w14:ligatures w14:val="none"/>
        </w:rPr>
        <w:t xml:space="preserve">. </w:t>
      </w:r>
    </w:p>
    <w:p w14:paraId="6354F26B"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(t) Review of appeals of local level decisions. </w:t>
      </w:r>
      <w:hyperlink r:id="rId163"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agencies which adopt a local level hearing system shall establish a procedure for monitoring local level hearing decisions. The number of local level decisions overturned upon appeal to a </w:t>
      </w:r>
      <w:hyperlink r:id="rId164"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level hearing shall be examined. If the number of reversed decisions is excessive, the </w:t>
      </w:r>
      <w:hyperlink r:id="rId165" w:history="1">
        <w:r w:rsidRPr="009C16DC">
          <w:rPr>
            <w:rFonts w:ascii="Times New Roman" w:eastAsia="Times New Roman" w:hAnsi="Times New Roman" w:cs="Times New Roman"/>
            <w:color w:val="0000FF"/>
            <w:kern w:val="0"/>
            <w:u w:val="single"/>
            <w14:ligatures w14:val="none"/>
          </w:rPr>
          <w:t>State</w:t>
        </w:r>
      </w:hyperlink>
      <w:r w:rsidRPr="009C16DC">
        <w:rPr>
          <w:rFonts w:ascii="Times New Roman" w:eastAsia="Times New Roman" w:hAnsi="Times New Roman" w:cs="Times New Roman"/>
          <w:kern w:val="0"/>
          <w14:ligatures w14:val="none"/>
        </w:rPr>
        <w:t xml:space="preserve"> agency shall take corrective action. </w:t>
      </w:r>
    </w:p>
    <w:p w14:paraId="4CE4CFA2" w14:textId="77777777" w:rsidR="009C16DC" w:rsidRPr="009C16DC" w:rsidRDefault="009C16DC" w:rsidP="009C16DC">
      <w:pPr>
        <w:spacing w:before="100" w:beforeAutospacing="1" w:after="100" w:afterAutospacing="1"/>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 xml:space="preserve">(u) Departmental review of decisions contrary to Federal law and regulations. [Reserved] </w:t>
      </w:r>
    </w:p>
    <w:p w14:paraId="00FE4EC0" w14:textId="77777777" w:rsidR="009C16DC" w:rsidRPr="009C16DC" w:rsidRDefault="009C16DC" w:rsidP="009C16DC">
      <w:pPr>
        <w:rPr>
          <w:rFonts w:ascii="Times New Roman" w:eastAsia="Times New Roman" w:hAnsi="Times New Roman" w:cs="Times New Roman"/>
          <w:kern w:val="0"/>
          <w14:ligatures w14:val="none"/>
        </w:rPr>
      </w:pPr>
      <w:r w:rsidRPr="009C16DC">
        <w:rPr>
          <w:rFonts w:ascii="Times New Roman" w:eastAsia="Times New Roman" w:hAnsi="Times New Roman" w:cs="Times New Roman"/>
          <w:kern w:val="0"/>
          <w14:ligatures w14:val="none"/>
        </w:rPr>
        <w:t>[</w:t>
      </w:r>
      <w:proofErr w:type="spellStart"/>
      <w:r w:rsidRPr="009C16DC">
        <w:rPr>
          <w:rFonts w:ascii="Times New Roman" w:eastAsia="Times New Roman" w:hAnsi="Times New Roman" w:cs="Times New Roman"/>
          <w:kern w:val="0"/>
          <w14:ligatures w14:val="none"/>
        </w:rPr>
        <w:t>Amdt</w:t>
      </w:r>
      <w:proofErr w:type="spellEnd"/>
      <w:r w:rsidRPr="009C16DC">
        <w:rPr>
          <w:rFonts w:ascii="Times New Roman" w:eastAsia="Times New Roman" w:hAnsi="Times New Roman" w:cs="Times New Roman"/>
          <w:kern w:val="0"/>
          <w14:ligatures w14:val="none"/>
        </w:rPr>
        <w:t xml:space="preserve">. 132, </w:t>
      </w:r>
      <w:hyperlink r:id="rId166" w:history="1">
        <w:r w:rsidRPr="009C16DC">
          <w:rPr>
            <w:rFonts w:ascii="Times New Roman" w:eastAsia="Times New Roman" w:hAnsi="Times New Roman" w:cs="Times New Roman"/>
            <w:color w:val="0000FF"/>
            <w:kern w:val="0"/>
            <w:u w:val="single"/>
            <w14:ligatures w14:val="none"/>
          </w:rPr>
          <w:t>43 FR 47889</w:t>
        </w:r>
      </w:hyperlink>
      <w:r w:rsidRPr="009C16DC">
        <w:rPr>
          <w:rFonts w:ascii="Times New Roman" w:eastAsia="Times New Roman" w:hAnsi="Times New Roman" w:cs="Times New Roman"/>
          <w:kern w:val="0"/>
          <w14:ligatures w14:val="none"/>
        </w:rPr>
        <w:t xml:space="preserve">, Oct. 17, 1978, as amended by </w:t>
      </w:r>
      <w:proofErr w:type="spellStart"/>
      <w:r w:rsidRPr="009C16DC">
        <w:rPr>
          <w:rFonts w:ascii="Times New Roman" w:eastAsia="Times New Roman" w:hAnsi="Times New Roman" w:cs="Times New Roman"/>
          <w:kern w:val="0"/>
          <w14:ligatures w14:val="none"/>
        </w:rPr>
        <w:t>Amdt</w:t>
      </w:r>
      <w:proofErr w:type="spellEnd"/>
      <w:r w:rsidRPr="009C16DC">
        <w:rPr>
          <w:rFonts w:ascii="Times New Roman" w:eastAsia="Times New Roman" w:hAnsi="Times New Roman" w:cs="Times New Roman"/>
          <w:kern w:val="0"/>
          <w14:ligatures w14:val="none"/>
        </w:rPr>
        <w:t xml:space="preserve">. 132, </w:t>
      </w:r>
      <w:hyperlink r:id="rId167" w:history="1">
        <w:r w:rsidRPr="009C16DC">
          <w:rPr>
            <w:rFonts w:ascii="Times New Roman" w:eastAsia="Times New Roman" w:hAnsi="Times New Roman" w:cs="Times New Roman"/>
            <w:color w:val="0000FF"/>
            <w:kern w:val="0"/>
            <w:u w:val="single"/>
            <w14:ligatures w14:val="none"/>
          </w:rPr>
          <w:t>44 FR 33385</w:t>
        </w:r>
      </w:hyperlink>
      <w:r w:rsidRPr="009C16DC">
        <w:rPr>
          <w:rFonts w:ascii="Times New Roman" w:eastAsia="Times New Roman" w:hAnsi="Times New Roman" w:cs="Times New Roman"/>
          <w:kern w:val="0"/>
          <w14:ligatures w14:val="none"/>
        </w:rPr>
        <w:t xml:space="preserve">, June 8, 1979; </w:t>
      </w:r>
      <w:proofErr w:type="spellStart"/>
      <w:r w:rsidRPr="009C16DC">
        <w:rPr>
          <w:rFonts w:ascii="Times New Roman" w:eastAsia="Times New Roman" w:hAnsi="Times New Roman" w:cs="Times New Roman"/>
          <w:kern w:val="0"/>
          <w14:ligatures w14:val="none"/>
        </w:rPr>
        <w:t>Amdt</w:t>
      </w:r>
      <w:proofErr w:type="spellEnd"/>
      <w:r w:rsidRPr="009C16DC">
        <w:rPr>
          <w:rFonts w:ascii="Times New Roman" w:eastAsia="Times New Roman" w:hAnsi="Times New Roman" w:cs="Times New Roman"/>
          <w:kern w:val="0"/>
          <w14:ligatures w14:val="none"/>
        </w:rPr>
        <w:t xml:space="preserve">. 146, </w:t>
      </w:r>
      <w:hyperlink r:id="rId168" w:history="1">
        <w:r w:rsidRPr="009C16DC">
          <w:rPr>
            <w:rFonts w:ascii="Times New Roman" w:eastAsia="Times New Roman" w:hAnsi="Times New Roman" w:cs="Times New Roman"/>
            <w:color w:val="0000FF"/>
            <w:kern w:val="0"/>
            <w:u w:val="single"/>
            <w14:ligatures w14:val="none"/>
          </w:rPr>
          <w:t>46 FR 1427</w:t>
        </w:r>
      </w:hyperlink>
      <w:r w:rsidRPr="009C16DC">
        <w:rPr>
          <w:rFonts w:ascii="Times New Roman" w:eastAsia="Times New Roman" w:hAnsi="Times New Roman" w:cs="Times New Roman"/>
          <w:kern w:val="0"/>
          <w14:ligatures w14:val="none"/>
        </w:rPr>
        <w:t xml:space="preserve">, Jan. 6, 1981; </w:t>
      </w:r>
      <w:proofErr w:type="spellStart"/>
      <w:r w:rsidRPr="009C16DC">
        <w:rPr>
          <w:rFonts w:ascii="Times New Roman" w:eastAsia="Times New Roman" w:hAnsi="Times New Roman" w:cs="Times New Roman"/>
          <w:kern w:val="0"/>
          <w14:ligatures w14:val="none"/>
        </w:rPr>
        <w:t>Amdt</w:t>
      </w:r>
      <w:proofErr w:type="spellEnd"/>
      <w:r w:rsidRPr="009C16DC">
        <w:rPr>
          <w:rFonts w:ascii="Times New Roman" w:eastAsia="Times New Roman" w:hAnsi="Times New Roman" w:cs="Times New Roman"/>
          <w:kern w:val="0"/>
          <w14:ligatures w14:val="none"/>
        </w:rPr>
        <w:t xml:space="preserve">. 269, </w:t>
      </w:r>
      <w:hyperlink r:id="rId169" w:history="1">
        <w:r w:rsidRPr="009C16DC">
          <w:rPr>
            <w:rFonts w:ascii="Times New Roman" w:eastAsia="Times New Roman" w:hAnsi="Times New Roman" w:cs="Times New Roman"/>
            <w:color w:val="0000FF"/>
            <w:kern w:val="0"/>
            <w:u w:val="single"/>
            <w14:ligatures w14:val="none"/>
          </w:rPr>
          <w:t>51 FR 10793</w:t>
        </w:r>
      </w:hyperlink>
      <w:r w:rsidRPr="009C16DC">
        <w:rPr>
          <w:rFonts w:ascii="Times New Roman" w:eastAsia="Times New Roman" w:hAnsi="Times New Roman" w:cs="Times New Roman"/>
          <w:kern w:val="0"/>
          <w14:ligatures w14:val="none"/>
        </w:rPr>
        <w:t xml:space="preserve">, Mar. 28, 1986; </w:t>
      </w:r>
      <w:proofErr w:type="spellStart"/>
      <w:r w:rsidRPr="009C16DC">
        <w:rPr>
          <w:rFonts w:ascii="Times New Roman" w:eastAsia="Times New Roman" w:hAnsi="Times New Roman" w:cs="Times New Roman"/>
          <w:kern w:val="0"/>
          <w14:ligatures w14:val="none"/>
        </w:rPr>
        <w:t>Amdt</w:t>
      </w:r>
      <w:proofErr w:type="spellEnd"/>
      <w:r w:rsidRPr="009C16DC">
        <w:rPr>
          <w:rFonts w:ascii="Times New Roman" w:eastAsia="Times New Roman" w:hAnsi="Times New Roman" w:cs="Times New Roman"/>
          <w:kern w:val="0"/>
          <w14:ligatures w14:val="none"/>
        </w:rPr>
        <w:t xml:space="preserve">. 356, </w:t>
      </w:r>
      <w:hyperlink r:id="rId170" w:history="1">
        <w:r w:rsidRPr="009C16DC">
          <w:rPr>
            <w:rFonts w:ascii="Times New Roman" w:eastAsia="Times New Roman" w:hAnsi="Times New Roman" w:cs="Times New Roman"/>
            <w:color w:val="0000FF"/>
            <w:kern w:val="0"/>
            <w:u w:val="single"/>
            <w14:ligatures w14:val="none"/>
          </w:rPr>
          <w:t>59 FR 29713</w:t>
        </w:r>
      </w:hyperlink>
      <w:r w:rsidRPr="009C16DC">
        <w:rPr>
          <w:rFonts w:ascii="Times New Roman" w:eastAsia="Times New Roman" w:hAnsi="Times New Roman" w:cs="Times New Roman"/>
          <w:kern w:val="0"/>
          <w14:ligatures w14:val="none"/>
        </w:rPr>
        <w:t xml:space="preserve">, June 9, 1994; </w:t>
      </w:r>
      <w:hyperlink r:id="rId171" w:history="1">
        <w:r w:rsidRPr="009C16DC">
          <w:rPr>
            <w:rFonts w:ascii="Times New Roman" w:eastAsia="Times New Roman" w:hAnsi="Times New Roman" w:cs="Times New Roman"/>
            <w:color w:val="0000FF"/>
            <w:kern w:val="0"/>
            <w:u w:val="single"/>
            <w14:ligatures w14:val="none"/>
          </w:rPr>
          <w:t>64 FR 48938</w:t>
        </w:r>
      </w:hyperlink>
      <w:r w:rsidRPr="009C16DC">
        <w:rPr>
          <w:rFonts w:ascii="Times New Roman" w:eastAsia="Times New Roman" w:hAnsi="Times New Roman" w:cs="Times New Roman"/>
          <w:kern w:val="0"/>
          <w14:ligatures w14:val="none"/>
        </w:rPr>
        <w:t xml:space="preserve">, Sept. 9, 1999; </w:t>
      </w:r>
      <w:proofErr w:type="spellStart"/>
      <w:r w:rsidRPr="009C16DC">
        <w:rPr>
          <w:rFonts w:ascii="Times New Roman" w:eastAsia="Times New Roman" w:hAnsi="Times New Roman" w:cs="Times New Roman"/>
          <w:kern w:val="0"/>
          <w14:ligatures w14:val="none"/>
        </w:rPr>
        <w:t>Amdt</w:t>
      </w:r>
      <w:proofErr w:type="spellEnd"/>
      <w:r w:rsidRPr="009C16DC">
        <w:rPr>
          <w:rFonts w:ascii="Times New Roman" w:eastAsia="Times New Roman" w:hAnsi="Times New Roman" w:cs="Times New Roman"/>
          <w:kern w:val="0"/>
          <w14:ligatures w14:val="none"/>
        </w:rPr>
        <w:t xml:space="preserve">. 378, </w:t>
      </w:r>
      <w:hyperlink r:id="rId172" w:history="1">
        <w:r w:rsidRPr="009C16DC">
          <w:rPr>
            <w:rFonts w:ascii="Times New Roman" w:eastAsia="Times New Roman" w:hAnsi="Times New Roman" w:cs="Times New Roman"/>
            <w:color w:val="0000FF"/>
            <w:kern w:val="0"/>
            <w:u w:val="single"/>
            <w14:ligatures w14:val="none"/>
          </w:rPr>
          <w:t>65 FR 41325</w:t>
        </w:r>
      </w:hyperlink>
      <w:r w:rsidRPr="009C16DC">
        <w:rPr>
          <w:rFonts w:ascii="Times New Roman" w:eastAsia="Times New Roman" w:hAnsi="Times New Roman" w:cs="Times New Roman"/>
          <w:kern w:val="0"/>
          <w14:ligatures w14:val="none"/>
        </w:rPr>
        <w:t xml:space="preserve">, July 5, 2000; </w:t>
      </w:r>
      <w:proofErr w:type="spellStart"/>
      <w:r w:rsidRPr="009C16DC">
        <w:rPr>
          <w:rFonts w:ascii="Times New Roman" w:eastAsia="Times New Roman" w:hAnsi="Times New Roman" w:cs="Times New Roman"/>
          <w:kern w:val="0"/>
          <w14:ligatures w14:val="none"/>
        </w:rPr>
        <w:t>Amdt</w:t>
      </w:r>
      <w:proofErr w:type="spellEnd"/>
      <w:r w:rsidRPr="009C16DC">
        <w:rPr>
          <w:rFonts w:ascii="Times New Roman" w:eastAsia="Times New Roman" w:hAnsi="Times New Roman" w:cs="Times New Roman"/>
          <w:kern w:val="0"/>
          <w14:ligatures w14:val="none"/>
        </w:rPr>
        <w:t xml:space="preserve">. 388, </w:t>
      </w:r>
      <w:hyperlink r:id="rId173" w:history="1">
        <w:r w:rsidRPr="009C16DC">
          <w:rPr>
            <w:rFonts w:ascii="Times New Roman" w:eastAsia="Times New Roman" w:hAnsi="Times New Roman" w:cs="Times New Roman"/>
            <w:color w:val="0000FF"/>
            <w:kern w:val="0"/>
            <w:u w:val="single"/>
            <w14:ligatures w14:val="none"/>
          </w:rPr>
          <w:t>65 FR 70211</w:t>
        </w:r>
      </w:hyperlink>
      <w:r w:rsidRPr="009C16DC">
        <w:rPr>
          <w:rFonts w:ascii="Times New Roman" w:eastAsia="Times New Roman" w:hAnsi="Times New Roman" w:cs="Times New Roman"/>
          <w:kern w:val="0"/>
          <w14:ligatures w14:val="none"/>
        </w:rPr>
        <w:t xml:space="preserve">, Nov. 21, 2000; </w:t>
      </w:r>
      <w:hyperlink r:id="rId174" w:history="1">
        <w:r w:rsidRPr="009C16DC">
          <w:rPr>
            <w:rFonts w:ascii="Times New Roman" w:eastAsia="Times New Roman" w:hAnsi="Times New Roman" w:cs="Times New Roman"/>
            <w:color w:val="0000FF"/>
            <w:kern w:val="0"/>
            <w:u w:val="single"/>
            <w14:ligatures w14:val="none"/>
          </w:rPr>
          <w:t>82 FR 2042</w:t>
        </w:r>
      </w:hyperlink>
      <w:r w:rsidRPr="009C16DC">
        <w:rPr>
          <w:rFonts w:ascii="Times New Roman" w:eastAsia="Times New Roman" w:hAnsi="Times New Roman" w:cs="Times New Roman"/>
          <w:kern w:val="0"/>
          <w14:ligatures w14:val="none"/>
        </w:rPr>
        <w:t xml:space="preserve">, Jan. 6, 2017] </w:t>
      </w:r>
    </w:p>
    <w:p w14:paraId="1A4A2314" w14:textId="77777777" w:rsidR="009C16DC" w:rsidRDefault="009C16DC"/>
    <w:sectPr w:rsidR="009C16D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16DC"/>
    <w:rsid w:val="005F4CC7"/>
    <w:rsid w:val="00834AC5"/>
    <w:rsid w:val="009C16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E44A250"/>
  <w15:chartTrackingRefBased/>
  <w15:docId w15:val="{A9F466BE-F3A6-DC4A-8DE0-59EB39192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C16DC"/>
    <w:pPr>
      <w:spacing w:before="100" w:beforeAutospacing="1" w:after="100" w:afterAutospacing="1"/>
      <w:outlineLvl w:val="0"/>
    </w:pPr>
    <w:rPr>
      <w:rFonts w:ascii="Times New Roman" w:eastAsia="Times New Roman" w:hAnsi="Times New Roman" w:cs="Times New Roman"/>
      <w:b/>
      <w:bCs/>
      <w:kern w:val="36"/>
      <w:sz w:val="48"/>
      <w:szCs w:val="48"/>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9C16DC"/>
    <w:pPr>
      <w:spacing w:before="100" w:beforeAutospacing="1" w:after="100" w:afterAutospacing="1"/>
    </w:pPr>
    <w:rPr>
      <w:rFonts w:ascii="Times New Roman" w:eastAsia="Times New Roman" w:hAnsi="Times New Roman" w:cs="Times New Roman"/>
      <w:kern w:val="0"/>
      <w14:ligatures w14:val="none"/>
    </w:rPr>
  </w:style>
  <w:style w:type="paragraph" w:customStyle="1" w:styleId="psection-1">
    <w:name w:val="psection-1"/>
    <w:basedOn w:val="Normal"/>
    <w:rsid w:val="009C16DC"/>
    <w:pPr>
      <w:spacing w:before="100" w:beforeAutospacing="1" w:after="100" w:afterAutospacing="1"/>
    </w:pPr>
    <w:rPr>
      <w:rFonts w:ascii="Times New Roman" w:eastAsia="Times New Roman" w:hAnsi="Times New Roman" w:cs="Times New Roman"/>
      <w:kern w:val="0"/>
      <w14:ligatures w14:val="none"/>
    </w:rPr>
  </w:style>
  <w:style w:type="character" w:customStyle="1" w:styleId="enumxml">
    <w:name w:val="enumxml"/>
    <w:basedOn w:val="DefaultParagraphFont"/>
    <w:rsid w:val="009C16DC"/>
  </w:style>
  <w:style w:type="character" w:customStyle="1" w:styleId="et03">
    <w:name w:val="et03"/>
    <w:basedOn w:val="DefaultParagraphFont"/>
    <w:rsid w:val="009C16DC"/>
  </w:style>
  <w:style w:type="character" w:styleId="Hyperlink">
    <w:name w:val="Hyperlink"/>
    <w:basedOn w:val="DefaultParagraphFont"/>
    <w:uiPriority w:val="99"/>
    <w:semiHidden/>
    <w:unhideWhenUsed/>
    <w:rsid w:val="009C16DC"/>
    <w:rPr>
      <w:color w:val="0000FF"/>
      <w:u w:val="single"/>
    </w:rPr>
  </w:style>
  <w:style w:type="character" w:styleId="FollowedHyperlink">
    <w:name w:val="FollowedHyperlink"/>
    <w:basedOn w:val="DefaultParagraphFont"/>
    <w:uiPriority w:val="99"/>
    <w:semiHidden/>
    <w:unhideWhenUsed/>
    <w:rsid w:val="009C16DC"/>
    <w:rPr>
      <w:color w:val="800080"/>
      <w:u w:val="single"/>
    </w:rPr>
  </w:style>
  <w:style w:type="paragraph" w:customStyle="1" w:styleId="psection-2">
    <w:name w:val="psection-2"/>
    <w:basedOn w:val="Normal"/>
    <w:rsid w:val="009C16DC"/>
    <w:pPr>
      <w:spacing w:before="100" w:beforeAutospacing="1" w:after="100" w:afterAutospacing="1"/>
    </w:pPr>
    <w:rPr>
      <w:rFonts w:ascii="Times New Roman" w:eastAsia="Times New Roman" w:hAnsi="Times New Roman" w:cs="Times New Roman"/>
      <w:kern w:val="0"/>
      <w14:ligatures w14:val="none"/>
    </w:rPr>
  </w:style>
  <w:style w:type="paragraph" w:customStyle="1" w:styleId="psection-3">
    <w:name w:val="psection-3"/>
    <w:basedOn w:val="Normal"/>
    <w:rsid w:val="009C16DC"/>
    <w:pPr>
      <w:spacing w:before="100" w:beforeAutospacing="1" w:after="100" w:afterAutospacing="1"/>
    </w:pPr>
    <w:rPr>
      <w:rFonts w:ascii="Times New Roman" w:eastAsia="Times New Roman" w:hAnsi="Times New Roman" w:cs="Times New Roman"/>
      <w:kern w:val="0"/>
      <w14:ligatures w14:val="none"/>
    </w:rPr>
  </w:style>
  <w:style w:type="character" w:customStyle="1" w:styleId="Heading1Char">
    <w:name w:val="Heading 1 Char"/>
    <w:basedOn w:val="DefaultParagraphFont"/>
    <w:link w:val="Heading1"/>
    <w:uiPriority w:val="9"/>
    <w:rsid w:val="009C16DC"/>
    <w:rPr>
      <w:rFonts w:ascii="Times New Roman" w:eastAsia="Times New Roman" w:hAnsi="Times New Roman" w:cs="Times New Roman"/>
      <w:b/>
      <w:bCs/>
      <w:kern w:val="36"/>
      <w:sz w:val="48"/>
      <w:szCs w:val="4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3141899">
      <w:bodyDiv w:val="1"/>
      <w:marLeft w:val="0"/>
      <w:marRight w:val="0"/>
      <w:marTop w:val="0"/>
      <w:marBottom w:val="0"/>
      <w:divBdr>
        <w:top w:val="none" w:sz="0" w:space="0" w:color="auto"/>
        <w:left w:val="none" w:sz="0" w:space="0" w:color="auto"/>
        <w:bottom w:val="none" w:sz="0" w:space="0" w:color="auto"/>
        <w:right w:val="none" w:sz="0" w:space="0" w:color="auto"/>
      </w:divBdr>
    </w:div>
    <w:div w:id="1496333423">
      <w:bodyDiv w:val="1"/>
      <w:marLeft w:val="0"/>
      <w:marRight w:val="0"/>
      <w:marTop w:val="0"/>
      <w:marBottom w:val="0"/>
      <w:divBdr>
        <w:top w:val="none" w:sz="0" w:space="0" w:color="auto"/>
        <w:left w:val="none" w:sz="0" w:space="0" w:color="auto"/>
        <w:bottom w:val="none" w:sz="0" w:space="0" w:color="auto"/>
        <w:right w:val="none" w:sz="0" w:space="0" w:color="auto"/>
      </w:divBdr>
      <w:divsChild>
        <w:div w:id="228081507">
          <w:marLeft w:val="0"/>
          <w:marRight w:val="0"/>
          <w:marTop w:val="0"/>
          <w:marBottom w:val="0"/>
          <w:divBdr>
            <w:top w:val="none" w:sz="0" w:space="0" w:color="auto"/>
            <w:left w:val="none" w:sz="0" w:space="0" w:color="auto"/>
            <w:bottom w:val="none" w:sz="0" w:space="0" w:color="auto"/>
            <w:right w:val="none" w:sz="0" w:space="0" w:color="auto"/>
          </w:divBdr>
          <w:divsChild>
            <w:div w:id="1573471324">
              <w:marLeft w:val="0"/>
              <w:marRight w:val="0"/>
              <w:marTop w:val="0"/>
              <w:marBottom w:val="0"/>
              <w:divBdr>
                <w:top w:val="none" w:sz="0" w:space="0" w:color="auto"/>
                <w:left w:val="none" w:sz="0" w:space="0" w:color="auto"/>
                <w:bottom w:val="none" w:sz="0" w:space="0" w:color="auto"/>
                <w:right w:val="none" w:sz="0" w:space="0" w:color="auto"/>
              </w:divBdr>
              <w:divsChild>
                <w:div w:id="1783651190">
                  <w:marLeft w:val="0"/>
                  <w:marRight w:val="0"/>
                  <w:marTop w:val="0"/>
                  <w:marBottom w:val="0"/>
                  <w:divBdr>
                    <w:top w:val="none" w:sz="0" w:space="0" w:color="auto"/>
                    <w:left w:val="none" w:sz="0" w:space="0" w:color="auto"/>
                    <w:bottom w:val="none" w:sz="0" w:space="0" w:color="auto"/>
                    <w:right w:val="none" w:sz="0" w:space="0" w:color="auto"/>
                  </w:divBdr>
                </w:div>
                <w:div w:id="1941260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2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42"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6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3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9"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170" Type="http://schemas.openxmlformats.org/officeDocument/2006/relationships/hyperlink" Target="https://www.law.cornell.edu/rio/citation/59_FR_29713" TargetMode="External"/><Relationship Id="rId10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1"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32"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53" Type="http://schemas.openxmlformats.org/officeDocument/2006/relationships/hyperlink" Target="https://www.law.cornell.edu/cfr/text/7/273.15" TargetMode="External"/><Relationship Id="rId7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2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9"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9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60"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22"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4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6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1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3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0"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171" Type="http://schemas.openxmlformats.org/officeDocument/2006/relationships/hyperlink" Target="https://www.law.cornell.edu/rio/citation/64_FR_48938" TargetMode="External"/><Relationship Id="rId12"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2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5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75" Type="http://schemas.openxmlformats.org/officeDocument/2006/relationships/hyperlink" Target="https://www.law.cornell.edu/definitions/index.php?width=840&amp;height=800&amp;iframe=true&amp;def_id=031e2ad6c08091af465a7f874508d365&amp;term_occur=999&amp;term_src=Title:7:Subtitle:B:Chapter:II:Subchapter:C:Part:273:Subpart:F:273.15" TargetMode="External"/><Relationship Id="rId9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0" Type="http://schemas.openxmlformats.org/officeDocument/2006/relationships/hyperlink" Target="https://www.law.cornell.edu/cfr/text/7/272.1" TargetMode="External"/><Relationship Id="rId16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 Type="http://schemas.openxmlformats.org/officeDocument/2006/relationships/styles" Target="styles.xml"/><Relationship Id="rId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23" Type="http://schemas.openxmlformats.org/officeDocument/2006/relationships/hyperlink" Target="https://www.law.cornell.edu/definitions/index.php?width=840&amp;height=800&amp;iframe=true&amp;def_id=82a23eb195768363b696d8a3bed6b2e6&amp;term_occur=999&amp;term_src=Title:7:Subtitle:B:Chapter:II:Subchapter:C:Part:273:Subpart:F:273.15" TargetMode="External"/><Relationship Id="rId2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49" Type="http://schemas.openxmlformats.org/officeDocument/2006/relationships/hyperlink" Target="https://www.law.cornell.edu/cfr/text/7/273.15" TargetMode="External"/><Relationship Id="rId114" Type="http://schemas.openxmlformats.org/officeDocument/2006/relationships/hyperlink" Target="https://www.law.cornell.edu/cfr/text/7/273.15" TargetMode="External"/><Relationship Id="rId119" Type="http://schemas.openxmlformats.org/officeDocument/2006/relationships/hyperlink" Target="https://www.law.cornell.edu/definitions/index.php?width=840&amp;height=800&amp;iframe=true&amp;def_id=bb99a2dbf275c9e9947e2f31d4bd05d9&amp;term_occur=999&amp;term_src=Title:7:Subtitle:B:Chapter:II:Subchapter:C:Part:273:Subpart:F:273.15" TargetMode="External"/><Relationship Id="rId4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60"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6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1" Type="http://schemas.openxmlformats.org/officeDocument/2006/relationships/hyperlink" Target="https://www.law.cornell.edu/definitions/index.php?width=840&amp;height=800&amp;iframe=true&amp;def_id=031e2ad6c08091af465a7f874508d365&amp;term_occur=999&amp;term_src=Title:7:Subtitle:B:Chapter:II:Subchapter:C:Part:273:Subpart:F:273.15" TargetMode="External"/><Relationship Id="rId8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30" Type="http://schemas.openxmlformats.org/officeDocument/2006/relationships/hyperlink" Target="https://www.law.cornell.edu/definitions/index.php?width=840&amp;height=800&amp;iframe=true&amp;def_id=9ec27b60a41607eb79e6a33701c89fb6&amp;term_occur=999&amp;term_src=Title:7:Subtitle:B:Chapter:II:Subchapter:C:Part:273:Subpart:F:273.15" TargetMode="External"/><Relationship Id="rId13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6"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172" Type="http://schemas.openxmlformats.org/officeDocument/2006/relationships/hyperlink" Target="https://www.law.cornell.edu/rio/citation/65_FR_41325" TargetMode="External"/><Relationship Id="rId13"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1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4" Type="http://schemas.openxmlformats.org/officeDocument/2006/relationships/hyperlink" Target="https://www.law.cornell.edu/definitions/index.php?width=840&amp;height=800&amp;iframe=true&amp;def_id=82a23eb195768363b696d8a3bed6b2e6&amp;term_occur=999&amp;term_src=Title:7:Subtitle:B:Chapter:II:Subchapter:C:Part:273:Subpart:F:273.15" TargetMode="External"/><Relationship Id="rId50" Type="http://schemas.openxmlformats.org/officeDocument/2006/relationships/hyperlink" Target="https://www.law.cornell.edu/cfr/text/7/273.15" TargetMode="External"/><Relationship Id="rId5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76" Type="http://schemas.openxmlformats.org/officeDocument/2006/relationships/hyperlink" Target="https://www.law.cornell.edu/cfr/text/7/274.12" TargetMode="External"/><Relationship Id="rId9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4" Type="http://schemas.openxmlformats.org/officeDocument/2006/relationships/hyperlink" Target="https://www.law.cornell.edu/definitions/index.php?width=840&amp;height=800&amp;iframe=true&amp;def_id=bb99a2dbf275c9e9947e2f31d4bd05d9&amp;term_occur=999&amp;term_src=Title:7:Subtitle:B:Chapter:II:Subchapter:C:Part:273:Subpart:F:273.15" TargetMode="External"/><Relationship Id="rId120" Type="http://schemas.openxmlformats.org/officeDocument/2006/relationships/hyperlink" Target="https://www.law.cornell.edu/cfr/text/7/272.1" TargetMode="External"/><Relationship Id="rId12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6"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167" Type="http://schemas.openxmlformats.org/officeDocument/2006/relationships/hyperlink" Target="https://www.law.cornell.edu/rio/citation/44_FR_33385" TargetMode="External"/><Relationship Id="rId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7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92" Type="http://schemas.openxmlformats.org/officeDocument/2006/relationships/hyperlink" Target="https://www.law.cornell.edu/definitions/index.php?width=840&amp;height=800&amp;iframe=true&amp;def_id=bb99a2dbf275c9e9947e2f31d4bd05d9&amp;term_occur=999&amp;term_src=Title:7:Subtitle:B:Chapter:II:Subchapter:C:Part:273:Subpart:F:273.15" TargetMode="External"/><Relationship Id="rId162" Type="http://schemas.openxmlformats.org/officeDocument/2006/relationships/hyperlink" Target="https://www.law.cornell.edu/cfr/text/7/273.18" TargetMode="External"/><Relationship Id="rId2" Type="http://schemas.openxmlformats.org/officeDocument/2006/relationships/settings" Target="settings.xml"/><Relationship Id="rId2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24" Type="http://schemas.openxmlformats.org/officeDocument/2006/relationships/hyperlink" Target="https://www.law.cornell.edu/cfr/text/7/273.2" TargetMode="External"/><Relationship Id="rId40"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45" Type="http://schemas.openxmlformats.org/officeDocument/2006/relationships/hyperlink" Target="https://www.law.cornell.edu/definitions/index.php?width=840&amp;height=800&amp;iframe=true&amp;def_id=82a23eb195768363b696d8a3bed6b2e6&amp;term_occur=999&amp;term_src=Title:7:Subtitle:B:Chapter:II:Subchapter:C:Part:273:Subpart:F:273.15" TargetMode="External"/><Relationship Id="rId6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10" Type="http://schemas.openxmlformats.org/officeDocument/2006/relationships/hyperlink" Target="https://www.law.cornell.edu/cfr/text/7/273.15" TargetMode="External"/><Relationship Id="rId11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3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3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6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2" Type="http://schemas.openxmlformats.org/officeDocument/2006/relationships/hyperlink" Target="https://www.law.cornell.edu/definitions/index.php?width=840&amp;height=800&amp;iframe=true&amp;def_id=031e2ad6c08091af465a7f874508d365&amp;term_occur=999&amp;term_src=Title:7:Subtitle:B:Chapter:II:Subchapter:C:Part:273:Subpart:F:273.15" TargetMode="External"/><Relationship Id="rId152" Type="http://schemas.openxmlformats.org/officeDocument/2006/relationships/hyperlink" Target="https://www.law.cornell.edu/cfr/text/7/273.15" TargetMode="External"/><Relationship Id="rId173" Type="http://schemas.openxmlformats.org/officeDocument/2006/relationships/hyperlink" Target="https://www.law.cornell.edu/rio/citation/65_FR_70211" TargetMode="External"/><Relationship Id="rId1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0"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56" Type="http://schemas.openxmlformats.org/officeDocument/2006/relationships/hyperlink" Target="https://www.law.cornell.edu/cfr/text/7/273.15" TargetMode="External"/><Relationship Id="rId7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0"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2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68" Type="http://schemas.openxmlformats.org/officeDocument/2006/relationships/hyperlink" Target="https://www.law.cornell.edu/rio/citation/46_FR_1427" TargetMode="External"/><Relationship Id="rId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51" Type="http://schemas.openxmlformats.org/officeDocument/2006/relationships/hyperlink" Target="https://www.law.cornell.edu/cfr/text/7/273.15" TargetMode="External"/><Relationship Id="rId72" Type="http://schemas.openxmlformats.org/officeDocument/2006/relationships/hyperlink" Target="https://www.law.cornell.edu/cfr/text/7/273.13" TargetMode="External"/><Relationship Id="rId9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9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2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2"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6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 Type="http://schemas.openxmlformats.org/officeDocument/2006/relationships/webSettings" Target="webSettings.xml"/><Relationship Id="rId2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4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67" Type="http://schemas.openxmlformats.org/officeDocument/2006/relationships/hyperlink" Target="https://www.law.cornell.edu/cfr/text/7/273.15" TargetMode="External"/><Relationship Id="rId116" Type="http://schemas.openxmlformats.org/officeDocument/2006/relationships/hyperlink" Target="https://www.law.cornell.edu/definitions/index.php?width=840&amp;height=800&amp;iframe=true&amp;def_id=bb99a2dbf275c9e9947e2f31d4bd05d9&amp;term_occur=999&amp;term_src=Title:7:Subtitle:B:Chapter:II:Subchapter:C:Part:273:Subpart:F:273.15" TargetMode="External"/><Relationship Id="rId13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8"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20"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41" Type="http://schemas.openxmlformats.org/officeDocument/2006/relationships/hyperlink" Target="https://www.law.cornell.edu/cfr/text/7/272.4" TargetMode="External"/><Relationship Id="rId62"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11" Type="http://schemas.openxmlformats.org/officeDocument/2006/relationships/hyperlink" Target="https://www.law.cornell.edu/definitions/index.php?width=840&amp;height=800&amp;iframe=true&amp;def_id=bb99a2dbf275c9e9947e2f31d4bd05d9&amp;term_occur=999&amp;term_src=Title:7:Subtitle:B:Chapter:II:Subchapter:C:Part:273:Subpart:F:273.15" TargetMode="External"/><Relationship Id="rId132"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3" Type="http://schemas.openxmlformats.org/officeDocument/2006/relationships/hyperlink" Target="https://www.law.cornell.edu/definitions/index.php?width=840&amp;height=800&amp;iframe=true&amp;def_id=9ec27b60a41607eb79e6a33701c89fb6&amp;term_occur=999&amp;term_src=Title:7:Subtitle:B:Chapter:II:Subchapter:C:Part:273:Subpart:F:273.15" TargetMode="External"/><Relationship Id="rId174" Type="http://schemas.openxmlformats.org/officeDocument/2006/relationships/hyperlink" Target="https://www.law.cornell.edu/rio/citation/82_FR_2042" TargetMode="External"/><Relationship Id="rId1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5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2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52" Type="http://schemas.openxmlformats.org/officeDocument/2006/relationships/hyperlink" Target="https://www.law.cornell.edu/definitions/index.php?width=840&amp;height=800&amp;iframe=true&amp;def_id=bb99a2dbf275c9e9947e2f31d4bd05d9&amp;term_occur=999&amp;term_src=Title:7:Subtitle:B:Chapter:II:Subchapter:C:Part:273:Subpart:F:273.15" TargetMode="External"/><Relationship Id="rId7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7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9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9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22" Type="http://schemas.openxmlformats.org/officeDocument/2006/relationships/hyperlink" Target="https://www.law.cornell.edu/cfr/text/7/273.15" TargetMode="External"/><Relationship Id="rId14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8" Type="http://schemas.openxmlformats.org/officeDocument/2006/relationships/hyperlink" Target="https://www.law.cornell.edu/definitions/index.php?width=840&amp;height=800&amp;iframe=true&amp;def_id=ce67462c745b22218573d50bfb76a0ed&amp;term_occur=999&amp;term_src=Title:7:Subtitle:B:Chapter:II:Subchapter:C:Part:273:Subpart:F:273.15" TargetMode="External"/><Relationship Id="rId16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69" Type="http://schemas.openxmlformats.org/officeDocument/2006/relationships/hyperlink" Target="https://www.law.cornell.edu/rio/citation/51_FR_10793" TargetMode="External"/><Relationship Id="rId4" Type="http://schemas.openxmlformats.org/officeDocument/2006/relationships/hyperlink" Target="https://www.law.cornell.edu/cfr/text/7/271.7" TargetMode="External"/><Relationship Id="rId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2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47" Type="http://schemas.openxmlformats.org/officeDocument/2006/relationships/hyperlink" Target="https://www.law.cornell.edu/definitions/index.php?width=840&amp;height=800&amp;iframe=true&amp;def_id=54b0d3ac535b1762aecb4b6574499934&amp;term_occur=999&amp;term_src=Title:7:Subtitle:B:Chapter:II:Subchapter:C:Part:273:Subpart:F:273.15" TargetMode="External"/><Relationship Id="rId6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12" Type="http://schemas.openxmlformats.org/officeDocument/2006/relationships/hyperlink" Target="https://www.law.cornell.edu/definitions/index.php?width=840&amp;height=800&amp;iframe=true&amp;def_id=bb99a2dbf275c9e9947e2f31d4bd05d9&amp;term_occur=999&amp;term_src=Title:7:Subtitle:B:Chapter:II:Subchapter:C:Part:273:Subpart:F:273.15" TargetMode="External"/><Relationship Id="rId13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4" Type="http://schemas.openxmlformats.org/officeDocument/2006/relationships/hyperlink" Target="https://www.law.cornell.edu/cfr/text/7/273.17" TargetMode="External"/><Relationship Id="rId175" Type="http://schemas.openxmlformats.org/officeDocument/2006/relationships/fontTable" Target="fontTable.xml"/><Relationship Id="rId16"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7" Type="http://schemas.openxmlformats.org/officeDocument/2006/relationships/hyperlink" Target="https://www.law.cornell.edu/definitions/index.php?width=840&amp;height=800&amp;iframe=true&amp;def_id=9ec27b60a41607eb79e6a33701c89fb6&amp;term_occur=999&amp;term_src=Title:7:Subtitle:B:Chapter:II:Subchapter:C:Part:273:Subpart:F:273.15" TargetMode="External"/><Relationship Id="rId58" Type="http://schemas.openxmlformats.org/officeDocument/2006/relationships/hyperlink" Target="https://www.law.cornell.edu/definitions/index.php?width=840&amp;height=800&amp;iframe=true&amp;def_id=9ec27b60a41607eb79e6a33701c89fb6&amp;term_occur=999&amp;term_src=Title:7:Subtitle:B:Chapter:II:Subchapter:C:Part:273:Subpart:F:273.15" TargetMode="External"/><Relationship Id="rId7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2"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23"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4" Type="http://schemas.openxmlformats.org/officeDocument/2006/relationships/hyperlink" Target="https://www.law.cornell.edu/definitions/index.php?width=840&amp;height=800&amp;iframe=true&amp;def_id=9ec27b60a41607eb79e6a33701c89fb6&amp;term_occur=999&amp;term_src=Title:7:Subtitle:B:Chapter:II:Subchapter:C:Part:273:Subpart:F:273.15" TargetMode="External"/><Relationship Id="rId90" Type="http://schemas.openxmlformats.org/officeDocument/2006/relationships/hyperlink" Target="https://www.law.cornell.edu/cfr/text/7/273.15" TargetMode="External"/><Relationship Id="rId16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27" Type="http://schemas.openxmlformats.org/officeDocument/2006/relationships/hyperlink" Target="https://www.law.cornell.edu/definitions/index.php?width=840&amp;height=800&amp;iframe=true&amp;def_id=82a23eb195768363b696d8a3bed6b2e6&amp;term_occur=999&amp;term_src=Title:7:Subtitle:B:Chapter:II:Subchapter:C:Part:273:Subpart:F:273.15" TargetMode="External"/><Relationship Id="rId4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6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13" Type="http://schemas.openxmlformats.org/officeDocument/2006/relationships/hyperlink" Target="https://www.law.cornell.edu/definitions/index.php?width=840&amp;height=800&amp;iframe=true&amp;def_id=3d500f5f8321285c5927acbdc942e90a&amp;term_occur=999&amp;term_src=Title:7:Subtitle:B:Chapter:II:Subchapter:C:Part:273:Subpart:F:273.15" TargetMode="External"/><Relationship Id="rId13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80"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5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76" Type="http://schemas.openxmlformats.org/officeDocument/2006/relationships/theme" Target="theme/theme1.xml"/><Relationship Id="rId17"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38"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59"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03" Type="http://schemas.openxmlformats.org/officeDocument/2006/relationships/hyperlink" Target="https://www.law.cornell.edu/definitions/index.php?width=840&amp;height=800&amp;iframe=true&amp;def_id=bb99a2dbf275c9e9947e2f31d4bd05d9&amp;term_occur=999&amp;term_src=Title:7:Subtitle:B:Chapter:II:Subchapter:C:Part:273:Subpart:F:273.15" TargetMode="External"/><Relationship Id="rId124"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70"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91"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45" Type="http://schemas.openxmlformats.org/officeDocument/2006/relationships/hyperlink" Target="https://www.law.cornell.edu/definitions/index.php?width=840&amp;height=800&amp;iframe=true&amp;def_id=6e4e7a812702f639257c52748a1e27ce&amp;term_occur=999&amp;term_src=Title:7:Subtitle:B:Chapter:II:Subchapter:C:Part:273:Subpart:F:273.15" TargetMode="External"/><Relationship Id="rId166" Type="http://schemas.openxmlformats.org/officeDocument/2006/relationships/hyperlink" Target="https://www.law.cornell.edu/rio/citation/43_FR_478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9081</Words>
  <Characters>51762</Characters>
  <Application>Microsoft Office Word</Application>
  <DocSecurity>0</DocSecurity>
  <Lines>431</Lines>
  <Paragraphs>121</Paragraphs>
  <ScaleCrop>false</ScaleCrop>
  <Company/>
  <LinksUpToDate>false</LinksUpToDate>
  <CharactersWithSpaces>60722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2023-07-10T22:01:00Z</dcterms:created>
  <dcterms:modified xsi:type="dcterms:W3CDTF">2023-07-10T22:01:00Z</dcterms:modified>
</cp:coreProperties>
</file>